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EthRG — Kosten</w:t>
      </w:r>
    </w:p>
    <w:p>
      <w:r>
        <w:rPr>
          <w:color w:val="555555"/>
          <w:sz w:val="18"/>
        </w:rPr>
        <w:t xml:space="preserve">Ethikratgesetz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Deutschen Ethikrats erhalten eine pauschale Aufwandsentschädigung sowie Ersatz ihrer Reisekosten nach dem Bundesreisekostengesetz. Die Aufwandsentschädigung wird vom Präsidenten des Deutschen Bundestags festgesetzt.</w:t>
      </w:r>
    </w:p>
    <w:p>
      <w:r>
        <w:t xml:space="preserve">(2) Die Kosten des Deutschen Ethikrats und seiner Geschäftsstelle trägt der Bund.</w:t>
      </w:r>
    </w:p>
    <w:p>
      <w:r>
        <w:rPr>
          <w:color w:val="555555"/>
          <w:sz w:val="17"/>
        </w:rPr>
        <w:t xml:space="preserve">Zitiervorschlag: § 10 EthRG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https://recht.nulegal.eu/gesetze/EthRG/10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