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EstrMstrV 2026 — Situationsaufgabe</w:t>
      </w:r>
    </w:p>
    <w:p>
      <w:r>
        <w:rPr>
          <w:color w:val="555555"/>
          <w:sz w:val="18"/>
        </w:rPr>
        <w:t xml:space="preserve">Estrichlegermeisterverordnung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 Situationsaufgabe orientiert sich an einem Kundenauftrag und vervollständigt für die Meisterprüfung den Nachweis der beruflichen Handlungskompetenz im Estrichleger-Handwerk.</w:t>
      </w:r>
    </w:p>
    <w:p>
      <w:r>
        <w:t xml:space="preserve">(2) Die Situationsaufgabe wird nach Maßgabe der Vorschriften der Meisterprüfungsverfahrensverordnung festgelegt und gliedert sich wie folgt:</w:t>
      </w:r>
    </w:p>
    <w:p>
      <w:pPr>
        <w:ind w:left="420"/>
      </w:pPr>
      <w:r>
        <w:t xml:space="preserve">1. Vorbereiten eines Untergrundes sowie Zuschneiden, Verlegen, Kleben von Bodenbelägen aus verschiedenen Stoffen, die nicht bereits Teil des Meisterprüfungsprojektes waren sowie</w:t>
      </w:r>
    </w:p>
    <w:p>
      <w:pPr>
        <w:ind w:left="420"/>
      </w:pPr>
      <w:r>
        <w:t xml:space="preserve">2. Auftragen und Verlegen von Sperrschichten, Anbringen von Randdämmstreifen, Verlegen und Abdecken von Dämmschichten bei Rohren auf der Rohdecke,</w:t>
      </w:r>
    </w:p>
    <w:p>
      <w:pPr>
        <w:ind w:left="420"/>
      </w:pPr>
      <w:r>
        <w:t xml:space="preserve">3. Auftragen von Kunstharzschichten mit vorgegebenen Rutschfestigkeitsklassen verschiedener Arten mit Hohlkehle,</w:t>
      </w:r>
    </w:p>
    <w:p>
      <w:pPr>
        <w:ind w:left="420"/>
      </w:pPr>
      <w:r>
        <w:t xml:space="preserve">4. Schleifen einer Musterfläche aus Sichtestrichen zur direkten Nutzung oder</w:t>
      </w:r>
    </w:p>
    <w:p>
      <w:pPr>
        <w:ind w:left="420"/>
      </w:pPr>
      <w:r>
        <w:t xml:space="preserve">5. Verlegen eines dünnschichtigen Nutzestrichs einschließlich der Oberflächenbehandlung.</w:t>
      </w:r>
    </w:p>
    <w:p>
      <w:r>
        <w:t xml:space="preserve">Die Situationsaufgabe wird vom Meisterprüfungsausschuss festgelegt und umfasst die Tätigkeiten nach Satz 1 Nummer 1 sowie eine weitere Tätigkeit nach Satz 1 Nummer 2 bis 5.</w:t>
      </w:r>
    </w:p>
    <w:p>
      <w:r>
        <w:t xml:space="preserve">(3) Für die Bearbeitung der Situationsaufgabe stehen dem Prüfling 4 Stunden zur Verfügung. Zusätzlich kann der Prüfungsausschuss abhängig von den zu verwendenden Materialien Trocknungszeiten gewähren.</w:t>
      </w:r>
    </w:p>
    <w:p>
      <w:r>
        <w:t xml:space="preserve">(4) Jede Teilarbeit nach Absatz 2 Satz 1 Nummer 1 bis 5 wird gesondert bewertet. Die Gesamtbewertung der Situationsaufgabe entspricht dem arithmetischen Mittel der Bewertungen der Teilarbeiten nach Absatz 2.</w:t>
      </w:r>
    </w:p>
    <w:p>
      <w:r>
        <w:rPr>
          <w:color w:val="555555"/>
          <w:sz w:val="17"/>
        </w:rPr>
        <w:t xml:space="preserve">Zitiervorschlag: § 7 EstrMstrV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https://recht.nulegal.eu/gesetze/EstrMstrV%202026/7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