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16 EstrMstrV 2026 — Inkrafttreten, Außerkrafttreten</w:t>
      </w:r>
    </w:p>
    <w:p>
      <w:r>
        <w:rPr>
          <w:color w:val="555555"/>
          <w:sz w:val="18"/>
        </w:rPr>
        <w:t xml:space="preserve">Estrichlegermeisterverordnung</w:t>
      </w:r>
    </w:p>
    <w:p>
      <w:r>
        <w:rPr>
          <w:color w:val="555555"/>
          <w:sz w:val="18"/>
        </w:rPr>
        <w:t xml:space="preserve">Stand: 01.01.2026 (konsolidierte Textfassung, kein amtliches Inkrafttretensdatum)</w:t>
      </w:r>
    </w:p>
    <w:p>
      <w:r>
        <w:t xml:space="preserve">Diese Verordnung tritt am 1. Januar 2026 in Kraft. Gleichzeitig tritt die Estrichlegermeisterverordnung vom 16. Februar 1995 (BGBl. I S. 214), die zuletzt durch Artikel 2 Absatz 19 der Verordnung vom 18. Januar 2022 (BGBl. I S. 39) geändert worden ist, außer Kraft.</w:t>
      </w:r>
    </w:p>
    <w:p>
      <w:r>
        <w:rPr>
          <w:color w:val="555555"/>
          <w:sz w:val="17"/>
        </w:rPr>
        <w:t xml:space="preserve">Zitiervorschlag: § 16 EstrMstrV 2026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https://recht.nulegal.eu/gesetze/EstrMstrV%202026/16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