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EstrMstrV 2026 — Gegenstand</w:t>
      </w:r>
    </w:p>
    <w:p>
      <w:r>
        <w:rPr>
          <w:color w:val="555555"/>
          <w:sz w:val="18"/>
        </w:rPr>
        <w:t xml:space="preserve">Estrichlegermeisterverordnung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Diese Verordnung regelt das Meisterprüfungsberufsbild, die in der Prüfung in den Teilen I und II der Meisterprüfung zu stellenden Anforderungen sowie die Bestimmungen zur Durchführung der Meisterprüfung im Estrichleger-Handwerk.</w:t>
      </w:r>
    </w:p>
    <w:p>
      <w:r>
        <w:rPr>
          <w:color w:val="555555"/>
          <w:sz w:val="17"/>
        </w:rPr>
        <w:t xml:space="preserve">Zitiervorschlag: § 1 EstrMstrV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https://recht.nulegal.eu/gesetze/EstrMstrV%202026/1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