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EssigV</w:t>
      </w:r>
    </w:p>
    <w:p>
      <w:r>
        <w:rPr>
          <w:color w:val="555555"/>
          <w:sz w:val="18"/>
        </w:rPr>
        <w:t xml:space="preserve">Verordnung über den Verkehr mit Essig und Essigessenz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Nach § 59 Absatz 1 Nummer 21 Buchstabe a des Lebensmittel- und Futtermittelgesetzbuches wird bestraft, wer entgegen § 2 Satz 1 oder § 4 Absatz 1 oder 2 Essig oder Essigessenz in den Verkehr bringt.</w:t>
      </w:r>
    </w:p>
    <w:p>
      <w:r>
        <w:t xml:space="preserve">(2) Wer eine in Absatz 1 bezeichnete Handlung fahrlässig begeht, handelt nach § 60 Absatz 1 Nummer 2 des Lebensmittel- und Futtermittelgesetzbuches ordnungswidrig.</w:t>
      </w:r>
    </w:p>
    <w:p>
      <w:r>
        <w:rPr>
          <w:color w:val="555555"/>
          <w:sz w:val="17"/>
        </w:rPr>
        <w:t xml:space="preserve">Zitiervorschlag: § 5 EssigV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https://recht.nulegal.eu/gesetze/EssigV/5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