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 EssigV</w:t>
      </w:r>
    </w:p>
    <w:p>
      <w:r>
        <w:rPr>
          <w:color w:val="555555"/>
          <w:sz w:val="18"/>
        </w:rPr>
        <w:t xml:space="preserve">Verordnung über den Verkehr mit Essig und Essigessenz</w:t>
      </w:r>
    </w:p>
    <w:p>
      <w:r>
        <w:rPr>
          <w:color w:val="555555"/>
          <w:sz w:val="18"/>
        </w:rPr>
        <w:t xml:space="preserve">Stand: 07.02.2023 (konsolidierte Textfassung, kein amtliches Inkrafttretensdatum)</w:t>
      </w:r>
    </w:p>
    <w:p>
      <w:r>
        <w:t xml:space="preserve">(1) Essig darf nur in den Verkehr gebracht werden, wenn er wie folgt gekennzeichnet ist:</w:t>
      </w:r>
    </w:p>
    <w:p>
      <w:pPr>
        <w:ind w:left="420"/>
      </w:pPr>
      <w:r>
        <w:t xml:space="preserve">1. Gärungsessig als „Essig“ in Verbindung mit der Angabe der Ausgangs- und Rohstoffe;</w:t>
      </w:r>
    </w:p>
    <w:p>
      <w:pPr>
        <w:ind w:left="420"/>
      </w:pPr>
      <w:r>
        <w:t xml:space="preserve">2. Essig aus Essigsäure als „Essig aus Essigsäure“; Essig aus Essigessenz als „Essig aus Essigessenz“;</w:t>
      </w:r>
    </w:p>
    <w:p>
      <w:pPr>
        <w:ind w:left="420"/>
      </w:pPr>
      <w:r>
        <w:t xml:space="preserve">3. mit Essigessenz oder Essig aus Essigessenz vermischter Gärungsessig als „Essig“ mit dem Hinweis „hergestellt unter Zusatz von Essigessenz“;</w:t>
      </w:r>
    </w:p>
    <w:p>
      <w:pPr>
        <w:ind w:left="420"/>
      </w:pPr>
      <w:r>
        <w:t xml:space="preserve">4. mit Essigsäure oder Essig aus Essigsäure vermischter Gärungsessig als „Essig“ mit dem Hinweis „hergestellt unter Zusatz von Essigsäure“.</w:t>
      </w:r>
    </w:p>
    <w:p>
      <w:r>
        <w:t xml:space="preserve">(2) Essigessenz darf nur in den Verkehr gebracht werden, wenn sie als solche gekennzeichnet ist.</w:t>
      </w:r>
    </w:p>
    <w:p>
      <w:r>
        <w:t xml:space="preserve">(3) Der Gehalt an Essigsäure und anderen Säuren, die den verwendeten Ausgangs- oder Rohstoffen oder erlaubten Zusätzen entstammen (Gesamtsäuregehalt), ist, berechnet als wasserfreie Essigsäure, bei Essig in Gramm je 100 Milliliter, bei Essigessenz in Gramm je 100 Gramm mit den Worten „…% Säure“ anzugeben.</w:t>
      </w:r>
    </w:p>
    <w:p>
      <w:r>
        <w:t xml:space="preserve">(4) Für die Art und Weise der Angaben nach den Absätzen 1 bis 3 gelten Artikel 12 Absatz 1 und 2 und Artikel 13 Absatz 1 bis 3 der Verordnung (EU) Nr. 1169/2011 des Europäischen Parlaments und des Rates vom 25. Oktober 2011 betreffend die Information der Verbraucher über Lebensmittel und zur Änderung der Verordnungen (EG) Nr. 1924/2006 und (EG) Nr. 1925/2006 des Europäischen Parlaments und des Rates und zur Aufhebung der Richtlinie 87/250/EWG der Kommission, der Richtlinie 90/496/EWG des Rates, der Richtlinie 1999/10/EG der Kommission, der Richtlinie 2000/13/EG des Europäischen Parlaments und des Rates, der Richtlinien 2002/67/EG und 2008/5/EG der Kommission und der Verordnung (EG) Nr. 608/2004 der Kommission (ABl. L 304 vom 22.11.2011, S. 18; L 331 vom 18.11.2014, S. 41; L 50 vom 21.2.2015, S. 48; L 266 vom 30.9.2016, S. 7) in der jeweils geltenden Fassung und § 2 der Lebensmittelinformations-Durchführungsverordnung entsprechend.</w:t>
      </w:r>
    </w:p>
    <w:p>
      <w:r>
        <w:rPr>
          <w:color w:val="555555"/>
          <w:sz w:val="17"/>
        </w:rPr>
        <w:t xml:space="preserve">Zitiervorschlag: § 4 EssigV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https://recht.nulegal.eu/gesetze/EssigV/4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