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ErzUrlSoldV</w:t>
      </w:r>
    </w:p>
    <w:p>
      <w:r>
        <w:rPr>
          <w:color w:val="555555"/>
          <w:sz w:val="18"/>
        </w:rPr>
        <w:t xml:space="preserve">Elternzeitverordnung für Soldatinnen und Soldaten</w:t>
      </w:r>
    </w:p>
    <w:p>
      <w:r>
        <w:rPr>
          <w:color w:val="555555"/>
          <w:sz w:val="18"/>
        </w:rPr>
        <w:t xml:space="preserve">Stand: 10.06.2019 (konsolidierte Textfassung, kein amtliches Inkrafttretensdatum)</w:t>
      </w:r>
    </w:p>
    <w:p>
      <w:r>
        <w:t xml:space="preserve">Für die vor dem 1. Januar 2004 geborenen Kinder oder für die vor diesem Zeitpunkt mit dem Ziel der Adoption aufgenommenen Kinder sind die Vorschriften dieser Verordnung in der bis zum 31. Dezember 2003 geltenden Fassung weiter anzuwenden.</w:t>
      </w:r>
    </w:p>
    <w:p>
      <w:r>
        <w:rPr>
          <w:color w:val="555555"/>
          <w:sz w:val="17"/>
        </w:rPr>
        <w:t xml:space="preserve">Zitiervorschlag: § 7a ErzUrlSoldV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https://recht.nulegal.eu/gesetze/ErzUrlSoldV/7a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