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ErzUrlSoldV</w:t>
      </w:r>
    </w:p>
    <w:p>
      <w:r>
        <w:rPr>
          <w:color w:val="555555"/>
          <w:sz w:val="18"/>
        </w:rPr>
        <w:t xml:space="preserve">Elternzeitverordnung für Soldatinnen und Soldaten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dieser Verordnung sind nur in den Fällen anzuwenden, in denen das Kind nach Inkrafttreten dieser Verordnung geboren wird.</w:t>
      </w:r>
    </w:p>
    <w:p>
      <w:r>
        <w:rPr>
          <w:color w:val="555555"/>
          <w:sz w:val="17"/>
        </w:rPr>
        <w:t xml:space="preserve">Zitiervorschlag: § 7 ErzUrlSoldV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https://recht.nulegal.eu/gesetze/ErzUrlSoldV/7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