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ErzUrlSoldV — Nicht volle Erwerbstätigkeit</w:t>
      </w:r>
    </w:p>
    <w:p>
      <w:r>
        <w:rPr>
          <w:color w:val="555555"/>
          <w:sz w:val="18"/>
        </w:rPr>
        <w:t xml:space="preserve">Elternzeitverordnung für Soldatinnen und Soldaten</w:t>
      </w:r>
    </w:p>
    <w:p>
      <w:r>
        <w:rPr>
          <w:color w:val="555555"/>
          <w:sz w:val="18"/>
        </w:rPr>
        <w:t xml:space="preserve">Stand: 01.05.2025 (konsolidierte Textfassung, kein amtliches Inkrafttretensdatum)</w:t>
      </w:r>
    </w:p>
    <w:p>
      <w:r>
        <w:t xml:space="preserve">Während der Elternzeit darf die Soldatin oder der Soldat mit Zustimmung des Bundesministeriums der Verteidigung oder der von ihm beauftragten Stelle eine Teilzeitbeschäftigung außerhalb des Soldatenverhältnisses ausüben, wenn die Teilzeitbeschäftigung den Umfang von 32 Stunden in der Woche nicht überschreitet.</w:t>
      </w:r>
    </w:p>
    <w:p>
      <w:r>
        <w:rPr>
          <w:color w:val="555555"/>
          <w:sz w:val="17"/>
        </w:rPr>
        <w:t xml:space="preserve">Zitiervorschlag: § 4 ErzUrlSoldV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https://recht.nulegal.eu/gesetze/ErzUrlSoldV/4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