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ErzUrlSoldV — Verfahren</w:t>
      </w:r>
    </w:p>
    <w:p>
      <w:r>
        <w:rPr>
          <w:color w:val="555555"/>
          <w:sz w:val="18"/>
        </w:rPr>
        <w:t xml:space="preserve">Elternzeitverordnung für Soldatinnen und Soldaten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Elternzeit erteilt das Bundesministerium der Verteidigung oder eine von ihm beauftragte Stelle.</w:t>
      </w:r>
    </w:p>
    <w:p>
      <w:r>
        <w:t xml:space="preserve">(2) Aus zwingenden Gründen der Verteidigung kann das Bundesministerium der Verteidigung die Erteilung der beantragten Elternzeit ablehnen oder bereits gewährte Elternzeit widerrufen.</w:t>
      </w:r>
    </w:p>
    <w:p>
      <w:r>
        <w:t xml:space="preserve">(3) Mit Zustimmung des Bundesministeriums der Verteidigung oder einer von ihm beauftragten Stelle kann auf bereits bewilligte Elternzeit verzichtet werden.</w:t>
      </w:r>
    </w:p>
    <w:p>
      <w:r>
        <w:rPr>
          <w:color w:val="555555"/>
          <w:sz w:val="17"/>
        </w:rPr>
        <w:t xml:space="preserve">Zitiervorschlag: § 3 ErzUrlSoldV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https://recht.nulegal.eu/gesetze/ErzUrlSoldV/3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