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ErzGleichV (Brandenburg) — Inkrafttreten</w:t>
      </w:r>
    </w:p>
    <w:p>
      <w:r>
        <w:rPr>
          <w:color w:val="555555"/>
          <w:sz w:val="18"/>
        </w:rPr>
        <w:t xml:space="preserve">Erzieher-Gleichwertigkeits-Verordnung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11. September 2017</w:t>
      </w:r>
    </w:p>
    <w:p>
      <w:r>
        <w:t xml:space="preserve">Der Minister für Bildung,</w:t>
      </w:r>
    </w:p>
    <w:p>
      <w:r>
        <w:t xml:space="preserve">Jugend und Sport</w:t>
      </w:r>
    </w:p>
    <w:p>
      <w:r>
        <w:t xml:space="preserve">Günter Baaske</w:t>
      </w:r>
    </w:p>
    <w:p>
      <w:r>
        <w:rPr>
          <w:color w:val="555555"/>
          <w:sz w:val="17"/>
        </w:rPr>
        <w:t xml:space="preserve">Zitiervorschlag: § 7 ErzGleichV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https://recht.nulegal.eu/gesetze/ErzGleichV/7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