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ErzGleichV (Brandenburg) — Aufnahme in die Qualifizierungsmaßnahme</w:t>
      </w:r>
    </w:p>
    <w:p>
      <w:r>
        <w:rPr>
          <w:color w:val="555555"/>
          <w:sz w:val="18"/>
        </w:rPr>
        <w:t xml:space="preserve">Erzieher-Gleichwertigkeits-Verordnung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Voraussetzungen für die Aufnahme in die tätigkeitsbegleitende Qualifizierung nach § 1 sind ein mittlerer Schulabschluss sowie eine abgeschlossene Berufsausbildung. Die Entscheidung über die Aufnahme trifft der jeweilige Bildungsträger unter Berücksichtigung der zusätzlichen Voraussetzungen gemäß den Rahmenvorgaben nach Anlage 2 Nummer 5.</w:t>
      </w:r>
    </w:p>
    <w:p>
      <w:r>
        <w:rPr>
          <w:color w:val="555555"/>
          <w:sz w:val="17"/>
        </w:rPr>
        <w:t xml:space="preserve">Zitiervorschlag: § 3 ErzGleichV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https://recht.nulegal.eu/gesetze/ErzGleichV/3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