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ErwSchLV (Bayern)</w:t>
      </w:r>
    </w:p>
    <w:p>
      <w:r>
        <w:rPr>
          <w:color w:val="555555"/>
          <w:sz w:val="18"/>
        </w:rPr>
        <w:t xml:space="preserve">Verordnung zur Einrichtung einer erweiterten Schulleitung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 des Art. 57a Abs. 4 des Bayerischen Gesetzes über das Erziehungs- und Unterrichtswesen (BayEUG) in der Fassung der Bekanntmachung vom 31. Mai 2000 (GVBl S. 414, ber. S. 632; BayRS 2230-1-1-UK), zuletzt geändert durch Gesetz vom 24. Juli 2013 (GVBl S. 465), erlässt die Bayerische Staatsregierung folgende Verordnung:</w:t>
      </w:r>
    </w:p>
    <w:p>
      <w:r>
        <w:rPr>
          <w:color w:val="555555"/>
          <w:sz w:val="17"/>
        </w:rPr>
        <w:t xml:space="preserve">Zitiervorschlag: Eingangsformel ErwSchLV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https://recht.nulegal.eu/gesetze/ErwSchLV/eingangsformel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