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ErwSchLV (Bayern) — Inkrafttreten, Außerkrafttreten</w:t>
      </w:r>
    </w:p>
    <w:p>
      <w:r>
        <w:rPr>
          <w:color w:val="555555"/>
          <w:sz w:val="18"/>
        </w:rPr>
        <w:t xml:space="preserve">Verordnung zur Einrichtung einer erweiterten Schulleitung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mit Wirkung vom 1. August 2013 in Kraft. § 3a tritt mit Ablauf des 31. Juli 2026 außer Kraft.</w:t>
      </w:r>
    </w:p>
    <w:p>
      <w:r>
        <w:rPr>
          <w:color w:val="555555"/>
          <w:sz w:val="17"/>
        </w:rPr>
        <w:t xml:space="preserve">Zitiervorschlag: § 4 ErwSchLV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https://recht.nulegal.eu/gesetze/ErwSchLV/4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ErwSchLV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