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ErstrG — Wirtschaftspatente</w:t>
      </w:r>
    </w:p>
    <w:p>
      <w:r>
        <w:rPr>
          <w:color w:val="555555"/>
          <w:sz w:val="18"/>
        </w:rPr>
        <w:t xml:space="preserve">Erstreckungsgesetz</w:t>
      </w:r>
    </w:p>
    <w:p>
      <w:r>
        <w:rPr>
          <w:color w:val="555555"/>
          <w:sz w:val="18"/>
        </w:rPr>
        <w:t xml:space="preserve">Stand: 10.06.2019 (konsolidierte Textfassung, kein amtliches Inkrafttretensdatum)</w:t>
      </w:r>
    </w:p>
    <w:p>
      <w:r>
        <w:t xml:space="preserve">(1) Nach § 4 erstreckte Wirtschaftspatente gelten als Patente, für die eine Lizenzbereitschaftserklärung nach § 23 Abs. 1 Satz 1 des Patentgesetzes abgegeben worden ist. Dies gilt auch für Wirtschaftspatente, die auf Grund des Abkommens vom 18. Dezember 1976 über die gegenseitige Anerkennung von Urheberscheinen und anderen Schutzdokumenten für Erfindungen (GBl. II Nr. 15 S. 327) mit Wirkung für das in Artikel 3 des Einigungsvertrages genannte Gebiet anerkannt worden sind.</w:t>
      </w:r>
    </w:p>
    <w:p>
      <w:r>
        <w:t xml:space="preserve">(2) Der Inhaber eines auf das Vorliegen aller Schutzvoraussetzungen geprüften Patents kann zu jedem Zeitpunkt schriftlich gegenüber dem Deutschen Patent- und Markenamt erklären, daß die Lizenzbereitschaftserklärung nach Absatz 1 als widerrufen gelten soll. Ein Hinweis auf diese Erklärung wird im Patentblatt veröffentlicht. Wird der Unterschiedsbetrag nicht innerhalb der Frist des Satzes 2 gezahlt, so kann er mit dem Verspätungszuschlag noch bis zum Ablauf einer Frist von weiteren vier Monaten gezahlt werden. § 17 Abs. 3 Satz 2 und 3 des Patentgesetzes ist entsprechend anzuwenden mit der Maßgabe, daß an die Stelle der Fälligkeit der Ablauf der Monatsfrist des Satzes 3 tritt.</w:t>
      </w:r>
    </w:p>
    <w:p>
      <w:r>
        <w:t xml:space="preserve">(3) Wer vor der Veröffentlichung des Hinweises auf die Erklärung nach Absatz 2 Satz 2 dem Patentinhaber die Absicht mitgeteilt hat, die Erfindung zu benutzen, und diese in Benutzung genommen oder die zur Benutzung erforderlichen Veranstaltungen getroffen hat, bleibt auch weiterhin zur Benutzung in der von ihm in der Anzeige angegebenen Weise berechtigt.</w:t>
      </w:r>
    </w:p>
    <w:p>
      <w:r>
        <w:rPr>
          <w:color w:val="555555"/>
          <w:sz w:val="17"/>
        </w:rPr>
        <w:t xml:space="preserve">Zitiervorschlag: § 7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