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ErstrG — Gebühren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Gebühren für nach § 4 erstreckte Schutzrechte und Schutzrechtsanmeldungen, die vor dem 1. Mai 1992 fällig geworden sind, sind nach den bisher anzuwendenden Rechtsvorschriften zu entrichten.</w:t>
      </w:r>
    </w:p>
    <w:p>
      <w:r>
        <w:t xml:space="preserve">(2) Ist eine Gebühr, die ab dem 1. Mai 1992 fällig wird, bereits vor diesem Zeitpunkt nach den bisherigen Gebührensätzen wirksam entrichtet worden, so gilt die Gebührenschuld als getilgt.</w:t>
      </w:r>
    </w:p>
    <w:p>
      <w:r>
        <w:rPr>
          <w:color w:val="555555"/>
          <w:sz w:val="17"/>
        </w:rPr>
        <w:t xml:space="preserve">Zitiervorschlag: § 53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