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ErstrG — Überleitung von Beschwerde- und Nichtigkeitsverfahren</w:t>
      </w:r>
    </w:p>
    <w:p>
      <w:r>
        <w:rPr>
          <w:color w:val="555555"/>
          <w:sz w:val="18"/>
        </w:rPr>
        <w:t xml:space="preserve">Erstreckungsgesetz</w:t>
      </w:r>
    </w:p>
    <w:p>
      <w:r>
        <w:rPr>
          <w:color w:val="555555"/>
          <w:sz w:val="18"/>
        </w:rPr>
        <w:t xml:space="preserve">Stand: 10.06.2019 (konsolidierte Textfassung, kein amtliches Inkrafttretensdatum)</w:t>
      </w:r>
    </w:p>
    <w:p>
      <w:r>
        <w:t xml:space="preserve">(1) Verfahren, die am 1. Mai 1992 bei einer Beschwerdespruchstelle oder einer Spruchstelle für Nichtigerklärung des Deutschen Patentamts noch anhängig sind, gehen in der Lage, in der sie sich befinden, auf das Bundespatentgericht über.</w:t>
      </w:r>
    </w:p>
    <w:p>
      <w:r>
        <w:t xml:space="preserve">(2) Verfahren, die am 1. Mai 1992 bei einer Spruchstelle für die Löschung von Warenkennzeichen des Deutschen Patentamts noch anhängig sind, werden von der Warenzeichenabteilung des Deutschen Patentamts fortgeführt.</w:t>
      </w:r>
    </w:p>
    <w:p>
      <w:r>
        <w:rPr>
          <w:color w:val="555555"/>
          <w:sz w:val="17"/>
        </w:rPr>
        <w:t xml:space="preserve">Zitiervorschlag: § 51 ErstrG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https://recht.nulegal.eu/gesetze/ErstrG/51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