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ErstrG — Erstreckung von gewerblichen Schutzrechten und Schutzrechtsanmeldungen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 1. Mai 1992 in dem in Artikel 3 des Einigungsvertrages genannten Gebiet bestehenden gewerblichen Schutzrechte (Ausschließungspatente und Wirtschaftspatente, Marken) und Anmeldungen von solchen Schutzrechten werden unter Beibehaltung ihres Zeitrangs auf das übrige Bundesgebiet erstreckt.</w:t>
      </w:r>
    </w:p>
    <w:p>
      <w:r>
        <w:t xml:space="preserve">(2) Das gleiche gilt für die auf Grund internationaler Abkommen mit Wirkung für das in Artikel 3 des Einigungsvertrages genannte Gebiet eingereichten Anmeldungen und eingetragenen oder erteilten Schutzrechte.</w:t>
      </w:r>
    </w:p>
    <w:p>
      <w:r>
        <w:t xml:space="preserve">(3) Für Herkunftsangaben, die mit Wirkung für das in Artikel 3 des Einigungsvertrages genannte Gebiet eingetragen oder angemeldet sind, gelten die §§ 33 bis 38.</w:t>
      </w:r>
    </w:p>
    <w:p>
      <w:r>
        <w:rPr>
          <w:color w:val="555555"/>
          <w:sz w:val="17"/>
        </w:rPr>
        <w:t xml:space="preserve">Zitiervorschlag: § 4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