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ErstrG — Weiterbenutzungsrecht</w:t>
      </w:r>
    </w:p>
    <w:p>
      <w:r>
        <w:rPr>
          <w:color w:val="555555"/>
          <w:sz w:val="18"/>
        </w:rPr>
        <w:t xml:space="preserve">Erstreckungsgesetz</w:t>
      </w:r>
    </w:p>
    <w:p>
      <w:r>
        <w:rPr>
          <w:color w:val="555555"/>
          <w:sz w:val="18"/>
        </w:rPr>
        <w:t xml:space="preserve">Stand: 10.06.2019 (konsolidierte Textfassung, kein amtliches Inkrafttretensdatum)</w:t>
      </w:r>
    </w:p>
    <w:p>
      <w:r>
        <w:t xml:space="preserve">(1) Trifft eine in ein Verbandszeichen umgewandelte Herkunftsangabe im übrigen Bundesgebiet auf eine übereinstimmende Bezeichnung, die dort vor dem 1. Juli 1990 rechtmäßig als Gattungsbezeichnung benutzt worden ist, so darf die Bezeichnung zur Kennzeichnung von Waren oder Verpackungen oder in Ankündigungen, Preislisten, Geschäftsbriefen, Empfehlungen, Rechnungen und dergleichen noch bis zum Ablauf von zwei Jahren nach der Eintragung des Verbandszeichens benutzt werden. Nach Ablauf dieser Frist noch vorhandene, so gekennzeichnete Waren oder Verpackungen oder vorhandene Ankündigungen, Preislisten, Geschäftsbriefe, Empfehlungen, Rechnungen oder dergleichen dürfen noch bis zum Ablauf von weiteren zwei Jahren abgesetzt und aufgebraucht werden.</w:t>
      </w:r>
    </w:p>
    <w:p>
      <w:r>
        <w:t xml:space="preserve">(2) Trifft eine in ein Verbandszeichen umgewandelte Herkunftsangabe im übrigen Bundesgebiet auf eine übereinstimmende Bezeichnung, die dort vor dem 1. Juli 1990 rechtmäßig von einem Unternehmen benutzt worden ist, das hinsichtlich der Benutzung dieser Bezeichnung die Tradition eines ursprünglich in dem in Artikel 3 des Einigungsvertrages genannten Gebiet ansässigen Geschäftsbetriebs fortführt, so ist Absatz 1 entsprechend anzuwenden mit der Maßgabe, daß die Frist zur Weiterbenutzung nach Satz 1 zehn Jahre beträgt.</w:t>
      </w:r>
    </w:p>
    <w:p>
      <w:r>
        <w:rPr>
          <w:color w:val="555555"/>
          <w:sz w:val="17"/>
        </w:rPr>
        <w:t xml:space="preserve">Zitiervorschlag: § 38 ErstrG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https://recht.nulegal.eu/gesetze/ErstrG/38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