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ErstrG — Schutzfähigkeit umgewandelter Herkunftsangaben</w:t>
      </w:r>
    </w:p>
    <w:p>
      <w:r>
        <w:rPr>
          <w:color w:val="555555"/>
          <w:sz w:val="18"/>
        </w:rPr>
        <w:t xml:space="preserve">Erstreckungsgesetz</w:t>
      </w:r>
    </w:p>
    <w:p>
      <w:r>
        <w:rPr>
          <w:color w:val="555555"/>
          <w:sz w:val="18"/>
        </w:rPr>
        <w:t xml:space="preserve">Stand: 10.06.2019 (konsolidierte Textfassung, kein amtliches Inkrafttretensdatum)</w:t>
      </w:r>
    </w:p>
    <w:p>
      <w:r>
        <w:t xml:space="preserve">Liegen die Voraussetzungen für die Eintragung eines Verbandszeichens im übrigen vor, so kann die Umwandlung einer eingetragenen oder angemeldeten Herkunftsangabe in ein Verbandszeichen nicht mit der Begründung abgelehnt werden, daß es sich nicht um eine Herkunftsangabe handelt, es sei denn, daß die Bezeichnung ihre ursprüngliche Bedeutung als geographische Angabe verloren hat und von den in Betracht kommenden Verkehrskreisen im gesamten Bundesgebiet ausschließlich als Warenname oder als Bezeichnung einer Sorte oder Art eines Erzeugnisses aufgefaßt wird.</w:t>
      </w:r>
    </w:p>
    <w:p>
      <w:r>
        <w:rPr>
          <w:color w:val="555555"/>
          <w:sz w:val="17"/>
        </w:rPr>
        <w:t xml:space="preserve">Zitiervorschlag: § 37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