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ErstrG — Umwandlung</w:t>
      </w:r>
    </w:p>
    <w:p>
      <w:r>
        <w:rPr>
          <w:color w:val="555555"/>
          <w:sz w:val="18"/>
        </w:rPr>
        <w:t xml:space="preserve">Erstreckungsgesetz</w:t>
      </w:r>
    </w:p>
    <w:p>
      <w:r>
        <w:rPr>
          <w:color w:val="555555"/>
          <w:sz w:val="18"/>
        </w:rPr>
        <w:t xml:space="preserve">Stand: 10.06.2019 (konsolidierte Textfassung, kein amtliches Inkrafttretensdatum)</w:t>
      </w:r>
    </w:p>
    <w:p>
      <w:r>
        <w:t xml:space="preserve">(1) Die in das Register für Herkunftsangaben eingetragenen Herkunftsangaben und die zur Eintragung in dieses Register angemeldeten Herkunftsangaben werden auf Antrag gemäß den nachfolgenden Bestimmungen in Verbandszeichen (§§ 17 bis 23 des Warenzeichengesetzes) umgewandelt.</w:t>
      </w:r>
    </w:p>
    <w:p>
      <w:r>
        <w:t xml:space="preserve">(2) Die in Verbandszeichen umgewandelten Herkunftsangaben erhalten im übrigen Bundesgebiet denselben Zeitrang wie in dem in Artikel 3 des Einigungsvertrages genannten Gebiet.</w:t>
      </w:r>
    </w:p>
    <w:p>
      <w:r>
        <w:rPr>
          <w:color w:val="555555"/>
          <w:sz w:val="17"/>
        </w:rPr>
        <w:t xml:space="preserve">Zitiervorschlag: § 33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