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ErstrG — Widerspruch gegen angemeldete Warenzeichen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die Eintragung eines in der Zeit vom 1. Juli bis zum Ablauf des 2. Oktober 1990 beim Deutschen Patentamt angemeldeten Zeichens, das nach § 1 erstreckt worden ist, kann Widerspruch nach § 5 Abs. 4 oder § 6a Abs. 3 des Warenzeichengesetzes auch erheben, wer für gleiche oder gleichartige Waren oder Dienstleistungen ein mit dem angemeldeten Zeichen übereinstimmendes Zeichen (§ 31 des Warenzeichengesetzes) mit älterem Zeitrang, das nach § 4 erstreckt worden ist, beim ehemaligen Patentamt der Deutschen Demokratischen Republik angemeldet hat. Einer solchen Anmeldung steht eine nach § 4 erstreckte international registrierte Marke nach dem Madrider Abkommen über die internationale Registrierung von Marken gleich.</w:t>
      </w:r>
    </w:p>
    <w:p>
      <w:r>
        <w:t xml:space="preserve">(2) Hat das Deutsche Patentamt ein in Absatz 1 genanntes Zeichen nach § 5 Abs. 2 des Warenzeichengesetzes bekanntgemacht und ist die Widerspruchsfrist nach § 5 Abs. 4 oder § 6a Abs. 3 des Warenzeichengesetzes am 1. Mai 1992 noch nicht abgelaufen, so kann Widerspruch auf Grund eines in Absatz 1 genannten früheren Zeichens noch bis zum Ablauf von drei Monaten nach diesem Zeitpunkt erhoben werden.</w:t>
      </w:r>
    </w:p>
    <w:p>
      <w:r>
        <w:t xml:space="preserve">(3) Die Absätze 1 und 2 sind auf Widersprüche nach § 2 der Verordnung über die internationale Registrierung von Fabrik- oder Handelsmarken, die gegen eine nach § 1 erstreckte international registrierte Marke erhoben werden, entsprechend anzuwenden.</w:t>
      </w:r>
    </w:p>
    <w:p>
      <w:r>
        <w:rPr>
          <w:color w:val="555555"/>
          <w:sz w:val="17"/>
        </w:rPr>
        <w:t xml:space="preserve">Zitiervorschlag: § 3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