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ErstrG — Vorbenutzungsrechte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Wirkung eines nach § 1 oder § 4 erstreckten Patents oder Gebrauchsmusters durch ein Vorbenutzungsrecht eingeschränkt (§ 12 des Patentgesetzes, § 13 Abs. 3 des Gebrauchsmustergesetzes, § 13 Abs. 1 des Patentgesetzes der Deutschen Demokratischen Republik), so gilt dieses Vorbenutzungsrecht mit den sich aus § 12 des Patentgesetzes ergebenden Schranken im gesamten Bundesgebiet.</w:t>
      </w:r>
    </w:p>
    <w:p>
      <w:r>
        <w:t xml:space="preserve">(2) Absatz 1 ist entsprechend anzuwenden, wenn die Voraussetzungen für die Anerkennung eines Vorbenutzungsrechts in dem Gebiet vorliegen, in dem das Schutzrecht bisher nicht galt.</w:t>
      </w:r>
    </w:p>
    <w:p>
      <w:r>
        <w:rPr>
          <w:color w:val="555555"/>
          <w:sz w:val="17"/>
        </w:rPr>
        <w:t xml:space="preserve">Zitiervorschlag: § 27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