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ErstrG — Schutzdauer</w:t>
      </w:r>
    </w:p>
    <w:p>
      <w:r>
        <w:rPr>
          <w:color w:val="555555"/>
          <w:sz w:val="18"/>
        </w:rPr>
        <w:t xml:space="preserve">Erstreckungsgesetz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die Berechnung der Dauer des Schutzes von nach § 4 erstreckten Marken ist § 9 Abs. 1 des Warenzeichengesetzes anzuwenden.</w:t>
      </w:r>
    </w:p>
    <w:p>
      <w:r>
        <w:rPr>
          <w:color w:val="555555"/>
          <w:sz w:val="17"/>
        </w:rPr>
        <w:t xml:space="preserve">Zitiervorschlag: § 24 ErstrG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https://recht.nulegal.eu/gesetze/ErstrG/24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