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ErstrG — Prüfung angemeldeter Marken</w:t>
      </w:r>
    </w:p>
    <w:p>
      <w:r>
        <w:rPr>
          <w:color w:val="555555"/>
          <w:sz w:val="18"/>
        </w:rPr>
        <w:t xml:space="preserve">Erstreckungsgesetz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 nach § 4 erstreckte Markenanmeldungen sind die Vorschriften des Warenzeichengesetzes anzuwenden, soweit nachfolgend nichts anderes bestimmt ist.</w:t>
      </w:r>
    </w:p>
    <w:p>
      <w:r>
        <w:t xml:space="preserve">(2) Die Versagung der Eintragung kann nicht darauf gestützt werden, daß es sich bei dem angemeldeten Zeichen um eine nach dem Warenzeichengesetz nicht eintragbare Markenform handelt.</w:t>
      </w:r>
    </w:p>
    <w:p>
      <w:r>
        <w:t xml:space="preserve">(3) Die Absätze 1 und 2 sind auf nach § 4 erstreckte international registrierte Marken nach dem Madrider Abkommen über die internationale Registrierung von Marken entsprechend anzuwenden.</w:t>
      </w:r>
    </w:p>
    <w:p>
      <w:r>
        <w:rPr>
          <w:color w:val="555555"/>
          <w:sz w:val="17"/>
        </w:rPr>
        <w:t xml:space="preserve">Zitiervorschlag: § 22 ErstrG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https://recht.nulegal.eu/gesetze/ErstrG/22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