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ErstrG — Löschung eingetragener Marken nach § 11 des Warenzeichengesetzes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Löschung einer nach § 4 erstreckten Marke, die auf Grund einer in der Zeit vom 1. Juli bis zum Ablauf des 2. Oktober 1990 eingereichten Anmeldung eingetragen worden ist, kann ein Dritter nach § 11 Abs. 1 Nr. 1 des Warenzeichengesetzes auch dann beantragen, wenn das Zeichen für ihn auf Grund einer Anmeldung mit älterem Zeitrang für gleiche oder gleichartige Waren in der Zeichenrolle eingetragen steht und nach § 1 erstreckt worden ist. Einer solchen Eintragung steht eine nach § 1 erstreckte international registrierte Marke nach dem Madrider Abkommen über die internationale Registrierung von Marken gleich.</w:t>
      </w:r>
    </w:p>
    <w:p>
      <w:r>
        <w:t xml:space="preserve">(2) Absatz 1 ist auf Anträge auf Entziehung des Schutzes einer nach § 4 erstreckten international registrierten Marke gemäß § 10 der Verordnung über die internationale Registrierung von Fabrik- oder Handelsmarken entsprechend anzuwenden.</w:t>
      </w:r>
    </w:p>
    <w:p>
      <w:r>
        <w:rPr>
          <w:color w:val="555555"/>
          <w:sz w:val="17"/>
        </w:rPr>
        <w:t xml:space="preserve">Zitiervorschlag: § 21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