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ErstrG — Löschung von eingetragenen Warenzeichen</w:t>
      </w:r>
    </w:p>
    <w:p>
      <w:r>
        <w:rPr>
          <w:color w:val="555555"/>
          <w:sz w:val="18"/>
        </w:rPr>
        <w:t xml:space="preserve">Erstreckungsgesetz</w:t>
      </w:r>
    </w:p>
    <w:p>
      <w:r>
        <w:rPr>
          <w:color w:val="555555"/>
          <w:sz w:val="18"/>
        </w:rPr>
        <w:t xml:space="preserve">Stand: 10.06.2019 (konsolidierte Textfassung, kein amtliches Inkrafttretensdatum)</w:t>
      </w:r>
    </w:p>
    <w:p>
      <w:r>
        <w:t xml:space="preserve">(1) Die Löschung eines nach § 1 erstreckten Warenzeichens, das auf Grund einer in der Zeit vom 1. Juli bis zum Ablauf des 2. Oktober 1990 eingereichten Anmeldung eingetragen worden ist, kann ein Dritter nach § 11 Abs. 1 Nr. 1 des Warenzeichengesetzes auch dann beantragen, wenn das Zeichen für ihn auf Grund einer beim ehemaligen Patentamt der Deutschen Demokratischen Republik eingereichten Anmeldung mit älterem Zeitrang für gleiche oder gleichartige Waren oder Dienstleistungen eingetragen und nach § 4 erstreckt worden ist. Einer solchen Eintragung steht eine nach § 4 erstreckte international registrierte Marke nach dem Madrider Abkommen über die internationale Registrierung von Marken gleich.</w:t>
      </w:r>
    </w:p>
    <w:p>
      <w:r>
        <w:t xml:space="preserve">(2) Absatz 1 ist auf Anträge auf Entziehung des Schutzes einer nach § 1 erstreckten international registrierten Marke gemäß § 10 der Verordnung über die internationale Registrierung von Fabrik- oder Handelsmarken entsprechend anzuwenden.</w:t>
      </w:r>
    </w:p>
    <w:p>
      <w:r>
        <w:rPr>
          <w:color w:val="555555"/>
          <w:sz w:val="17"/>
        </w:rPr>
        <w:t xml:space="preserve">Zitiervorschlag: § 2 ErstrG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https://recht.nulegal.eu/gesetze/ErstrG/2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