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ErstrG — Überleitung von Berichtigungsverfahren</w:t>
      </w:r>
    </w:p>
    <w:p>
      <w:r>
        <w:rPr>
          <w:color w:val="555555"/>
          <w:sz w:val="18"/>
        </w:rPr>
        <w:t xml:space="preserve">Erstreckungsgesetz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Berichtigungsverfahren nach § 19 des Patentgesetzes der Deutschen Demokratischen Republik, die am 1. Mai 1992 beim Deutschen Patentamt noch anhängig sind, werden in der Lage, in der sie sich befinden, als Beschränkungsverfahren nach § 64 des Patentgesetzes weitergeführt.</w:t>
      </w:r>
    </w:p>
    <w:p>
      <w:r>
        <w:rPr>
          <w:color w:val="555555"/>
          <w:sz w:val="17"/>
        </w:rPr>
        <w:t xml:space="preserve">Zitiervorschlag: § 14 ErstrG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https://recht.nulegal.eu/gesetze/ErstrG/14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