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ErstrG — Prüfung erteilter Patente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nach § 4 erstrecktes Patent, das nicht auf das Vorliegen aller Schutzvoraussetzungen geprüft ist, wird auf Antrag von der Prüfungsstelle des Deutschen Patent- und Markenamt geprüft. Der Antrag kann vom Patentinhaber und jedem Dritten gestellt werden. § 44 Abs. 1, 2 und 4 Satz 1 und § 45 des Patentgesetzes sind entsprechend anzuwenden; § 44 Abs. 3 Satz 1 und 2 des Patentgesetzes ist entsprechend anzuwenden, wenn ein Antrag nach § 11 gestellt worden ist.</w:t>
      </w:r>
    </w:p>
    <w:p>
      <w:r>
        <w:t xml:space="preserve">(2) Ein für ein nach § 4 erstrecktes Patent bereits wirksam gestellter Prüfungsantrag wird von der Prüfungsstelle weiterbehandelt. Eine von Amts wegen bereits begonnene Prüfung eines Patents wird fortgesetzt.</w:t>
      </w:r>
    </w:p>
    <w:p>
      <w:r>
        <w:t xml:space="preserve">(3) Die Prüfung nach den Absätzen 1 und 2 führt zur Aufrechterhaltung oder zum Widerruf des Patents. § 58 Abs. 1 Satz 1 und 2 des Patentgesetzes ist entsprechend anzuwenden. Gegen die Aufrechterhaltung kann Einspruch nach § 59 des Patentgesetzes erhoben werden.</w:t>
      </w:r>
    </w:p>
    <w:p>
      <w:r>
        <w:t xml:space="preserve">(4) Auf Patente im Sinne des Absatzes 1 ist § 81 Abs. 2 des Patentgesetzes nicht anzuwenden.</w:t>
      </w:r>
    </w:p>
    <w:p>
      <w:r>
        <w:t xml:space="preserve">(5) § 130 des Patentgesetzes ist auf Prüfungsverfahren nach den Absätzen 1 und 2 entsprechend anzuwenden.</w:t>
      </w:r>
    </w:p>
    <w:p>
      <w:r>
        <w:rPr>
          <w:color w:val="555555"/>
          <w:sz w:val="17"/>
        </w:rPr>
        <w:t xml:space="preserve">Zitiervorschlag: § 12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