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ErstAnzV</w:t>
      </w:r>
    </w:p>
    <w:p>
      <w:r>
        <w:rPr>
          <w:color w:val="555555"/>
          <w:sz w:val="18"/>
        </w:rPr>
        <w:t xml:space="preserve">Erstanzeigenverordnung</w:t>
      </w:r>
    </w:p>
    <w:p>
      <w:r>
        <w:rPr>
          <w:color w:val="555555"/>
          <w:sz w:val="18"/>
        </w:rPr>
        <w:t xml:space="preserve">Stand: 10.06.2019 (konsolidierte Textfassung, kein amtliches Inkrafttretensdatum)</w:t>
      </w:r>
    </w:p>
    <w:p>
      <w:r>
        <w:t xml:space="preserve">Anzeigen nach § 64e Abs. 2 Satz 1 des Gesetzes über das Kreditwesen (KWG) sind bis zum 1. April 1998 nach dem Stand vom 31. Dezember 1997 mit dem Vordruck "Anzeige nach § 64e Abs. 2 Satz 1 KWG (Finanzdienstleistungsinstitute/Wertpapierhandelsbanken)" (Anlage) dem Bundesaufsichtsamt für das Kreditwesen in zweifacher Ausfertigung und der Hauptverwaltung der zuständigen Landeszentralbank in dreifacher Ausfertigung einzureichen. Der Anzeige sind Kopien der von den zuständigen Behörden erteilten Erlaubnisse und vorgenommenen Bestellungen sowie aktuelle Registerauszüge in den für die Anzeige vorgesehenen Ausfertigungen beizufügen.</w:t>
      </w:r>
    </w:p>
    <w:p>
      <w:r>
        <w:rPr>
          <w:color w:val="555555"/>
          <w:sz w:val="17"/>
        </w:rPr>
        <w:t xml:space="preserve">Zitiervorschlag: § 1 ErstAnzV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https://recht.nulegal.eu/gesetze/ErstAnzV/1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