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ErsatzbaustoffV — Probenahme und Probenaufbereitung</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Die Probenahme für die Erstprüfung im Rahmen des Eignungsnachweises nach § 5 Absatz 2 hat nach der PN 98 – Richtlinie für das Vorgehen bei physikalischen, chemischen und biologischen Untersuchungen im Zusammenhang mit der Verwertung/Beseitigung von Abfällen, Stand Mai 2019, der Bund/Länder Arbeitsgemeinschaft Abfall (LAGA)[4], zu erfolgen. Die Probenahme ist zu protokollieren. Die Probenahmeprotokolle sind fünf Jahre aufzubewahren und der zuständigen Behörde auf Verlangen vorzulegen. Die Probenahme ist von Personen durchzuführen, die über die für die Durchführung der Probenahme erforderliche Fachkunde verfügen. Die Fachkunde kann durch qualifizierte Ausbildung oder langjährige praktische Erfahrung jeweils in Verbindung mit einer erfolgreichen Teilnahme an einem Probenehmerlehrgang nach LAGA PN 98 nachgewiesen werden. Die Kenntnisse zur Probenahme von Haufwerken sind mindestens alle fünf Jahre durch eine Teilnahme an geeigneten Lehrgängen zu aktualisieren. Bei der Probenahme ist aus der jeweils ersten Produktionscharge von 200 Kubikmeter bis 500 Kubikmeter des mineralischen Ersatzbaustoffs die in der Norm angegebene Zahl an Laborproben zu entnehmen. Im Labor ist aus den entnommenen Laborproben und nach vorheriger Aliquotierung und Abtrennung von entsprechenden Rückstellproben durch Mischen und Homogenisieren jeweils eine Prüfprobe mit dem Charakter einer Durchschnittsprobe zu erstellen. Die Rückstellproben sind mindestens sechs Monate aufzubewahren. Ergänzend kann die DIN 19698 Untersuchung von Feststoffen – Probenahme von festen und stichfesten Materialien – Teile 1 (2014-05) und 2 (2016-12) herangezogen werden.</w:t>
      </w:r>
    </w:p>
    <w:p>
      <w:r>
        <w:t xml:space="preserve">(2) Absatz 1 gilt für die Probenahme im Rahmen der werkseigenen Produktionskontrolle und der Fremdüberwachung nach den §§ 6 und 7 entsprechend. Zusätzlich sind im Rahmen der Fremdüberwachung die Laborproben aus der Charge zu entnehmen, die als erste in Verkehr gebracht werden soll; im Rahmen der werkseigenen Produktionskontrolle sind die Laborproben aus der jeweils aktuellen Produktionscharge zu entnehmen. Abweichend von Absatz 1 kann die Probenahme im Rahmen der werkseigenen Produktionskontrolle durch einen sachkundigen Probenehmer erfolgen, wenn eine Einweisung durch die Untersuchungsstelle erfolgt ist und ein Fachkundiger die ordnungsgemäße Probenahme bestätigt.</w:t>
      </w:r>
    </w:p>
    <w:p>
      <w:r>
        <w:t xml:space="preserve">(3) Der mineralische Ersatzbaustoff ist in der Korngrößenverteilung zu untersuchen, in der er in Verkehr gebracht werden soll. Soll der mineralische Ersatzbaustoff in mehreren Körnungen in Verkehr gebracht werden, kann abweichend von Satz 1 für die Überwachungsverfahren nach § 4 Absatz 1 Satz 2 Nummer 1 bis 3 im Einvernehmen mit der Überwachungsstelle auch eine den Ersatzbaustoff charakterisierende Prüfkörnung in der Korngröße von null Millimeter bis 22,4 Millimeter mit einem Massenanteil der Kornfraktion kleiner als vier Millimeter von mindestens 45 Masseprozent für den zu untersuchenden mineralischen Ersatzbaustoff herangezogen werden.</w:t>
      </w:r>
    </w:p>
    <w:p>
      <w:r>
        <w:t xml:space="preserve">(4) Zur Bestimmung der Feststoff- und Eluatkonzentrationen ist die Probenaufbereitung nach der DIN 19747 „Untersuchung von Feststoffen – Probenvorbehandlung, -vorbereitung und -aufarbeitung für chemische, biologische und physikalische Untersuchungen“, Ausgabe Juli 2009, in Verbindung mit der DIN EN 932-2 „Prüfverfahren für allgemeine Eigenschaften von Gesteinskörnungen – Teil 2: Verfahren zum Einengen von Laboratoriumsproben“, Ausgabe März 1999, vorzunehmen. Abweichend von Satz 1 sind zur Bestimmung der Eluatkonzentrationen mineralische Ersatzbaustoffe mit einem Größtkorn von mehr als 32 Millimeter nach der DIN 19528, „Elution von Feststoffen – Perkolationsverfahren zur gemeinsamen Untersuchung des Elutionsverhaltens von anorganischen und organischen Stoffen“, Ausgabe Januar 2009 oder der DIN 19529 „Elution von Feststoffen – Schüttelverfahren zur Untersuchung des Elutionsverhaltens von anorganischen Stoffen und organischen Stoffen mit einem Wasser/Feststoff-Verhältnis von 2 l/kg“, Ausgabe Dezember 2015 aufzubereiten.</w:t>
      </w:r>
    </w:p>
    <w:p>
      <w:r>
        <w:t xml:space="preserve">4 Die LAGA Mitteilung 32 (PN 98 – Richtlinie für das Vorgehen bei physikalischen, chemischen und biologischen Untersuchungen im Zusammenhang mit der Verwertung/Beseitigung von Abfällen) in Verbindung mit der Handlungshilfe zur Anwendung der LAGA Mitteilung 32 (LAGA PN 98) vom 5. Mai 2019 ist auf der Internetseite der Bund/Länder Arbeitsgemeinschaft Abfall unter www.laga-online.de hinterlegt und einsehbar.</w:t>
      </w:r>
    </w:p>
    <w:p>
      <w:r>
        <w:rPr>
          <w:color w:val="555555"/>
          <w:sz w:val="17"/>
        </w:rPr>
        <w:t xml:space="preserve">Zitiervorschlag: § 8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