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5 ErsatzbaustoffV — Eignungsnachweis</w:t>
      </w:r>
    </w:p>
    <w:p>
      <w:r>
        <w:rPr>
          <w:color w:val="555555"/>
          <w:sz w:val="18"/>
        </w:rPr>
        <w:t xml:space="preserve">Ersatzbaustoffverordnung</w:t>
      </w:r>
    </w:p>
    <w:p>
      <w:r>
        <w:rPr>
          <w:color w:val="555555"/>
          <w:sz w:val="18"/>
        </w:rPr>
        <w:t xml:space="preserve">Stand: 01.08.2023 (konsolidierte Textfassung, kein amtliches Inkrafttretensdatum)</w:t>
      </w:r>
    </w:p>
    <w:p>
      <w:r>
        <w:t xml:space="preserve">(1) Der Betreiber der Aufbereitungsanlage hat einen Eignungsnachweis zu erbringen oder einen vorhandenen Eignungsnachweis nach Maßgabe der Absätze 2 und 3 zu aktualisieren</w:t>
      </w:r>
    </w:p>
    <w:p>
      <w:pPr>
        <w:ind w:left="420"/>
      </w:pPr>
      <w:r>
        <w:t xml:space="preserve">1. bei der erstmaligen Inbetriebnahme einer mobilen oder stationären Anlage,</w:t>
      </w:r>
    </w:p>
    <w:p>
      <w:pPr>
        <w:ind w:left="420"/>
      </w:pPr>
      <w:r>
        <w:t xml:space="preserve">2. nach einer Änderung an einer genehmigungsbedürftigen Anlage gemäß den §§ 15 und 16 des Bundes-Immissionsschutzgesetzes,</w:t>
      </w:r>
    </w:p>
    <w:p>
      <w:pPr>
        <w:ind w:left="420"/>
      </w:pPr>
      <w:r>
        <w:t xml:space="preserve">3. bei nicht genehmigungsbedürftigen Anlagen nach einem Wechsel der Baumaßnahme, ausgenommen mobile Aufbereitungsanlagen, die auf dem Betriebsgelände einer stationären Aufbereitungsanlage in einem einheitlichen Betriebsablauf betrieben werden, oder</w:t>
      </w:r>
    </w:p>
    <w:p>
      <w:pPr>
        <w:ind w:left="420"/>
      </w:pPr>
      <w:r>
        <w:t xml:space="preserve">4. wenn andere, nicht vom Eignungsnachweis erfasste mineralische Ersatzbaustoffe in der Anlage hergestellt werden.</w:t>
      </w:r>
    </w:p>
    <w:p>
      <w:r>
        <w:t xml:space="preserve">Der Eignungsnachweis besteht aus der Erstprüfung und der Betriebsbeurteilung.</w:t>
      </w:r>
    </w:p>
    <w:p>
      <w:r>
        <w:t xml:space="preserve">(2) Im Rahmen der Erstprüfung ist von der Überwachungsstelle festzustellen, ob die hergestellten mineralischen Ersatzbaustoffe die geltenden Materialwerte der Anlage 1 nach Maßgabe des § 10 Absatz 1 und 2 einhalten und ob sie Schadstoffe nach Anlage 4 Tabelle 2.1 enthalten, für die keine Materialwerte festgesetzt sind. Die Erstprüfung umfasst auch die Ermittlung der in § 10 Absatz 5 genannten Materialwerte. Die Erstprüfung einer Aufbereitungsanlage zur Herstellung von Recycling-Baustoffen umfasst zusätzlich die Feststellung, ob die Überwachungswerte nach Anlage 4 Tabelle 2.2. eingehalten werden. Der Eignungsnachweis für Stahlwerksschlacken, die für einen Einbau nach Anlage 2, Einbauweise 12 vorgesehen sind, umfasst zusätzlich den CBR-Versuch nach Anlage 4 Tabelle 2.3. Die Überwachungsstelle entnimmt alle die nach diesem Absatz notwendigen Proben des in der Anlage hergestellten mineralischen Ersatzbaustoffs nach Maßgabe des § 8 Absatz 1. Die Proben sollen in Gegenwart eines Vertreters des Betreibers der Aufbereitungsanlage entnommen werden. Die Analytik der Proben nach Maßgabe des § 9 hat eine Untersuchungsstelle durchzuführen.</w:t>
      </w:r>
    </w:p>
    <w:p>
      <w:r>
        <w:t xml:space="preserve">(3) Die Betriebsbeurteilung hat durch dieselbe Überwachungsstelle zu erfolgen, die auch die Erstprüfung durchführt. Die Betriebsbeurteilung ist bestanden, wenn die Anlage aufgrund ihrer technischen Anlagenkomponenten, ihrer Betriebsorganisation und personellen Ausstattung geeignet ist und der Betreiber der Aufbereitungsanlage die Gewähr dafür bietet, dass die Anforderungen der Abschnitte 2 und 3 Unterabschnitt 1 erfüllt werden.</w:t>
      </w:r>
    </w:p>
    <w:p>
      <w:r>
        <w:t xml:space="preserve">(4) Die Überwachungsstelle hat dem Betreiber der Aufbereitungsanlage ein Prüfzeugnis über den erbrachten Eignungsnachweis auszustellen. Das Prüfzeugnis muss folgende Angaben enthalten:</w:t>
      </w:r>
    </w:p>
    <w:p>
      <w:pPr>
        <w:ind w:left="420"/>
      </w:pPr>
      <w:r>
        <w:t xml:space="preserve">1. die Durchführung der Erstprüfung einschließlich der Probenahme und der Analyseergebnisse der untersuchten Parameter,</w:t>
      </w:r>
    </w:p>
    <w:p>
      <w:pPr>
        <w:ind w:left="420"/>
      </w:pPr>
      <w:r>
        <w:t xml:space="preserve">2. eine abschließende Bewertung darüber, ob die Materialwerte nach Maßgabe des § 10 eingehalten werden, und</w:t>
      </w:r>
    </w:p>
    <w:p>
      <w:pPr>
        <w:ind w:left="420"/>
      </w:pPr>
      <w:r>
        <w:t xml:space="preserve">3. das Ergebnis der Betriebsbeurteilung.</w:t>
      </w:r>
    </w:p>
    <w:p>
      <w:r>
        <w:t xml:space="preserve">Sind für Parameter aus der Anlage 4 Tabelle 2.1 und 2.2, die keine Materialwerte sind, Gehalte nachweisbar, sind diese Parameter mit den gemessenen Konzentrationswerten ebenfalls im Prüfzeugnis zu dokumentieren.</w:t>
      </w:r>
    </w:p>
    <w:p>
      <w:r>
        <w:t xml:space="preserve">(5) Der Betreiber der Aufbereitungsanlage darf mineralische Ersatzbaustoffe erst dann in Verkehr bringen, wenn er das Prüfzeugnis über den erbrachten Eignungsnachweis von der Überwachungsstelle erhalten hat.</w:t>
      </w:r>
    </w:p>
    <w:p>
      <w:r>
        <w:t xml:space="preserve">(6) Der Betreiber der Aufbereitungsanlage, der mineralische Ersatzbaustoffe in einer mobilen Aufbereitungsanlage herstellt, ausgenommen mobile Aufbereitungsanlagen, die auf dem Betriebsgelände einer stationären Aufbereitungsanlage in einem einheitlichen Betriebsablauf betrieben werden, hat der zuständigen Behörde bei jeder neuen Baumaßnahme oder bei jedem sonstigen Wechsel des Einsatzortes unverzüglich Folgendes zu übermitteln:</w:t>
      </w:r>
    </w:p>
    <w:p>
      <w:pPr>
        <w:ind w:left="420"/>
      </w:pPr>
      <w:r>
        <w:t xml:space="preserve">1. den Namen des Betreibers der Aufbereitungsanlage,</w:t>
      </w:r>
    </w:p>
    <w:p>
      <w:pPr>
        <w:ind w:left="420"/>
      </w:pPr>
      <w:r>
        <w:t xml:space="preserve">2. den Einsatzort, an dem die Aufbereitungsanlage betrieben wird, und</w:t>
      </w:r>
    </w:p>
    <w:p>
      <w:pPr>
        <w:ind w:left="420"/>
      </w:pPr>
      <w:r>
        <w:t xml:space="preserve">3. eine Kopie des Prüfzeugnisses.</w:t>
      </w:r>
    </w:p>
    <w:p>
      <w:r>
        <w:rPr>
          <w:color w:val="555555"/>
          <w:sz w:val="17"/>
        </w:rPr>
        <w:t xml:space="preserve">Zitiervorschlag: § 5 ErsatzbaustoffV</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https://recht.nulegal.eu/gesetze/ErsatzbaustoffV/5</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