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ErsatzbaustoffV — Allgemeine Anforderungen an die Güteüberwachung</w:t>
      </w:r>
    </w:p>
    <w:p>
      <w:r>
        <w:rPr>
          <w:color w:val="555555"/>
          <w:sz w:val="18"/>
        </w:rPr>
        <w:t xml:space="preserve">Ersatzbaustoffverordnung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Betreiber einer Aufbereitungsanlage, in der mineralische Ersatzbaustoffe hergestellt werden, hat eine Güteüberwachung durchzuführen. Die Güteüberwachung besteht aus:</w:t>
      </w:r>
    </w:p>
    <w:p>
      <w:pPr>
        <w:ind w:left="420"/>
      </w:pPr>
      <w:r>
        <w:t xml:space="preserve">1. dem Eignungsnachweis,</w:t>
      </w:r>
    </w:p>
    <w:p>
      <w:pPr>
        <w:ind w:left="420"/>
      </w:pPr>
      <w:r>
        <w:t xml:space="preserve">2. der werkseigenen Produktionskontrolle und</w:t>
      </w:r>
    </w:p>
    <w:p>
      <w:pPr>
        <w:ind w:left="420"/>
      </w:pPr>
      <w:r>
        <w:t xml:space="preserve">3. der Fremdüberwachung.</w:t>
      </w:r>
    </w:p>
    <w:p>
      <w:r>
        <w:t xml:space="preserve">(2) Der Betreiber der Aufbereitungsanlage hat den Eignungsnachweis und die Fremdüberwachung von einer Überwachungsstelle durchführen zu lassen.</w:t>
      </w:r>
    </w:p>
    <w:p>
      <w:r>
        <w:t xml:space="preserve">(2a) Der Betreiber einer stationären Aufbereitungsanlage kann eine nach § 13a anerkannte Güteüberwachungsgemeinschaft mit der Güteüberwachung im Sinne der Absätze 1 und 2 beauftragen. Seine Verantwortung für die Erfüllung der Pflicht nach Absatz 1 bleibt hiervon unberührt.</w:t>
      </w:r>
    </w:p>
    <w:p>
      <w:r>
        <w:t xml:space="preserve">(3) Abweichend von Absatz 1 bedarf Gleisschotter in einer Körnung ab 31,5 Millimeter keiner Güteüberwachung, sofern er nach organoleptischem Befund nicht belastet ist und ausschließlich als Schotteroberbau nach den Einbauweisen B1 bis B4 der Anlage 3 in Gleisbauwerken wieder eingebaut wird. Der Wiedereinbau als Schotteroberbau nach den Einbauweisen B1 bis B4 der Anlage 3 im Gleisbauwerk bedarf keiner Erlaubnis nach § 8 Absatz 1 des Wasserhaushaltsgesetzes.</w:t>
      </w:r>
    </w:p>
    <w:p>
      <w:r>
        <w:t xml:space="preserve">(4) Anforderungen an die Überprüfung der bautechnischen Eigenschaften von mineralischen Ersatzbaustoffen nach anderen Vorschriften bleiben unberührt.</w:t>
      </w:r>
    </w:p>
    <w:p>
      <w:r>
        <w:rPr>
          <w:color w:val="555555"/>
          <w:sz w:val="17"/>
        </w:rPr>
        <w:t xml:space="preserve">Zitiervorschlag: § 4 ErsatzbaustoffV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https://recht.nulegal.eu/gesetze/ErsatzbaustoffV/4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