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ErsatzbaustoffV — Übergangsvorschriften</w:t>
      </w:r>
    </w:p>
    <w:p>
      <w:r>
        <w:rPr>
          <w:color w:val="555555"/>
          <w:sz w:val="18"/>
        </w:rPr>
        <w:t xml:space="preserve">Ersatzbaustoffverordnung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Betreiber von Aufbereitungsanlagen, die am 1. August 2023 in Betrieb sind, haben bis zum 1. Dezember 2023 einen Eignungsnachweis gemäß § 5 Absatz 1 zu erbringen.</w:t>
      </w:r>
    </w:p>
    <w:p>
      <w:r>
        <w:t xml:space="preserve">(2) Abweichend von § 5 Absatz 5 dürfen die Betreiber von Aufbereitungsanlagen mineralische Ersatzbaustoffe bis zum 1. Dezember 2023 auch dann in Verkehr bringen, wenn das Prüfzeugnis für einen bestandenen Eignungsnachweis nicht vorliegt.</w:t>
      </w:r>
    </w:p>
    <w:p>
      <w:r>
        <w:t xml:space="preserve">(3) Diese Verordnung findet keine Anwendung auf den Einbau von nicht aufbereitetem Bodenmaterial oder nicht aufbereitetem Baggergut in ein technisches Bauwerk, soweit</w:t>
      </w:r>
    </w:p>
    <w:p>
      <w:pPr>
        <w:ind w:left="420"/>
      </w:pPr>
      <w:r>
        <w:t xml:space="preserve">1. der Einbau auf der Grundlage einer Zulassung erfolgt, die vor dem 16. Juli 2021 erteilt wurde und die Anforderungen an den Einbau festlegt, oder</w:t>
      </w:r>
    </w:p>
    <w:p>
      <w:pPr>
        <w:ind w:left="420"/>
      </w:pPr>
      <w:r>
        <w:t xml:space="preserve">2. der Einbau im Rahmen eines UVP-pflichtigen Vorhabens erfolgt, bei dem der Träger des Vorhabens die Unterlagen nach § 5 Absatz 1 des Gesetzes über die Umweltverträglichkeitsprüfung oder entsprechenden Vorschriften des Landesrechts der zuständigen Behörde vor dem 16. Juli 2021 vorgelegt hat und diese Unterlagen Anforderungen an den Einbau vorsahen.</w:t>
      </w:r>
    </w:p>
    <w:p>
      <w:r>
        <w:t xml:space="preserve">(4) Solange keine Möglichkeit besteht, ein elektronisches Kataster zu führen, ist die zuständige Behörde verpflichtet, die angezeigten Verwendungen mineralischer Ersatzbaustoffe aufzubewahren.</w:t>
      </w:r>
    </w:p>
    <w:p>
      <w:r>
        <w:rPr>
          <w:color w:val="555555"/>
          <w:sz w:val="17"/>
        </w:rPr>
        <w:t xml:space="preserve">Zitiervorschlag: § 27 ErsatzbaustoffV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https://recht.nulegal.eu/gesetze/ErsatzbaustoffV/27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