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ErsatzbaustoffV — Lieferschein und Deckblatt</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Der Verbleib eines mineralischen Ersatzbaustoffs oder eines Gemisches ist vom erstmaligen Inverkehrbringen bis zum Einbau in ein technisches Bauwerk vom Inverkehrbringer und Verwender zu dokumentieren. Hierzu hat der Betreiber der Aufbereitungsanlage oder derjenige, der nicht aufbereitetes Bodenmaterial oder nicht aufbereitetes Baggergut in Verkehr bringt, spätestens bei der Anlieferung einen Lieferschein nach dem Muster in Anlage 7 auszustellen, der folgende Angaben enthalten muss:</w:t>
      </w:r>
    </w:p>
    <w:p>
      <w:pPr>
        <w:ind w:left="420"/>
      </w:pPr>
      <w:r>
        <w:t xml:space="preserve">1. den Inverkehrbringer,</w:t>
      </w:r>
    </w:p>
    <w:p>
      <w:pPr>
        <w:ind w:left="420"/>
      </w:pPr>
      <w:r>
        <w:t xml:space="preserve">2. Bezeichnung des mineralischen Ersatzbaustoffs sowie der Materialklasse und bei Gemischen die Benennung der einzelnen in dem Gemisch enthaltenen mineralischen Ersatzbaustoffe sowie deren Materialklassen,</w:t>
      </w:r>
    </w:p>
    <w:p>
      <w:pPr>
        <w:ind w:left="420"/>
      </w:pPr>
      <w:r>
        <w:t xml:space="preserve">3. bei Abfällen die Abfallschlüssel gemäß Abfallverzeichnisverordnung,</w:t>
      </w:r>
    </w:p>
    <w:p>
      <w:pPr>
        <w:ind w:left="420"/>
      </w:pPr>
      <w:r>
        <w:t xml:space="preserve">4. die Überwachungsstelle oder Untersuchungsstelle,</w:t>
      </w:r>
    </w:p>
    <w:p>
      <w:pPr>
        <w:ind w:left="420"/>
      </w:pPr>
      <w:r>
        <w:t xml:space="preserve">5. Angaben über die Einhaltung von in den Fußnoten der jeweiligen Einbautabelle für bestimmte Einbauweisen nach Anlage 2 oder 3 genannten Anforderungen,</w:t>
      </w:r>
    </w:p>
    <w:p>
      <w:pPr>
        <w:ind w:left="420"/>
      </w:pPr>
      <w:r>
        <w:t xml:space="preserve">6. die Liefermenge in Tonnen und Abgabedatum,</w:t>
      </w:r>
    </w:p>
    <w:p>
      <w:pPr>
        <w:ind w:left="420"/>
      </w:pPr>
      <w:r>
        <w:t xml:space="preserve">7. die Lieferkörnung oder Bodengruppe und</w:t>
      </w:r>
    </w:p>
    <w:p>
      <w:pPr>
        <w:ind w:left="420"/>
      </w:pPr>
      <w:r>
        <w:t xml:space="preserve">8. den Beförderer.</w:t>
      </w:r>
    </w:p>
    <w:p>
      <w:r>
        <w:t xml:space="preserve">(2) Der Betreiber der Aufbereitungsanlage oder derjenige, der nicht aufbereitetes Bodenmaterial oder nicht aufbereitetes Baggergut in Verkehr bringt, hat den ausgefüllten Lieferschein zu unterschreiben und dem Beförderer zu übergeben. Der Beförderer hat den ausgefüllten und unterschriebenen Lieferschein dem Verwender zu übergeben.</w:t>
      </w:r>
    </w:p>
    <w:p>
      <w:r>
        <w:t xml:space="preserve">(3) Der Verwender hat die im Rahmen einer Baumaßnahme erhaltenen Lieferscheine unverzüglich nach Erhalt zusammenzufügen und mit einem Deckblatt nach dem Muster in Anlage 8 zu dokumentieren. Das Deckblatt hat folgende Angaben zu enthalten:</w:t>
      </w:r>
    </w:p>
    <w:p>
      <w:pPr>
        <w:ind w:left="420"/>
      </w:pPr>
      <w:r>
        <w:t xml:space="preserve">1. den Verwender,</w:t>
      </w:r>
    </w:p>
    <w:p>
      <w:pPr>
        <w:ind w:left="420"/>
      </w:pPr>
      <w:r>
        <w:t xml:space="preserve">2. den Bauherrn, sofern dieser nicht selbst Verwender ist,</w:t>
      </w:r>
    </w:p>
    <w:p>
      <w:pPr>
        <w:ind w:left="420"/>
      </w:pPr>
      <w:r>
        <w:t xml:space="preserve">3. das Datum der Anlieferungen,</w:t>
      </w:r>
    </w:p>
    <w:p>
      <w:pPr>
        <w:ind w:left="420"/>
      </w:pPr>
      <w:r>
        <w:t xml:space="preserve">4. die Lageskizze des Einbauortes, Baumaßnahme,</w:t>
      </w:r>
    </w:p>
    <w:p>
      <w:pPr>
        <w:ind w:left="420"/>
      </w:pPr>
      <w:r>
        <w:t xml:space="preserve">5. die Bezeichnung der Einbauweisen nach Anlage 2 oder 3 unter Angabe der jeweiligen Nummer,</w:t>
      </w:r>
    </w:p>
    <w:p>
      <w:pPr>
        <w:ind w:left="420"/>
      </w:pPr>
      <w:r>
        <w:t xml:space="preserve">6. die Bodenart der Grundwasserdeckschicht wie „Sand“ oder „Lehm, Schluff oder Ton“,</w:t>
      </w:r>
    </w:p>
    <w:p>
      <w:pPr>
        <w:ind w:left="420"/>
      </w:pPr>
      <w:r>
        <w:t xml:space="preserve">7. Angaben zu dem höchsten zu erwartenden Grundwasserstand im Hinblick auf die Eigenschaft „günstig“ oder „ungünstig“ nach Anlage 2 oder 3 und</w:t>
      </w:r>
    </w:p>
    <w:p>
      <w:pPr>
        <w:ind w:left="420"/>
      </w:pPr>
      <w:r>
        <w:t xml:space="preserve">8. die Lage der Baumaßnahme im Hinblick auf Wasserschutzgebiete, Heilquellenschutzgebiete oder Wasservorranggebiete nach den Spalten 4 bis 6 der Anlage 2 oder 3.</w:t>
      </w:r>
    </w:p>
    <w:p>
      <w:r>
        <w:t xml:space="preserve">Der Lieferschein kann für Bodenmaterial der Klasse 0 – BM-0, Bodenmaterial der Klasse 0* – BM-0*, Bodenmaterial der Klasse F0* – BM-F0*, Baggergut der Klasse 0 – BG-0, Baggergut der Klasse 0* – BG-0*, Baggergut der Klasse F0* – BG-F0*, Gleisschotter der Klasse 0 – GS-0 und Schmelzkammergranulat – SKG entfallen, wenn die Gesamtmenge des Einbaus in ein technisches Bauwerk 200 Tonnen nicht überschreitet. Der Verwender hat das Deckblatt unverzüglich nach Abschluss der Einbaumaßnahme zu unterschreiben und, sofern er nicht selbst Bauherr ist, dieses zusammen mit den Lieferscheinen dem Bauherrn zu übergeben. Der Bauherr hat, sofern er nicht selbst Grundstückseigentümer ist, das Deckblatt und die Lieferscheine unverzüglich nach Abschluss der gesamten Baumaßnahme dem Grundstückseigentümer zu übergeben. Sofern es sich bei der Baumaßnahme um eine Errichtung, Erweiterung oder Instandhaltung einer Kritischen Infrastruktur, insbesondere um die Verlegung eines Erdkabels handelt, gilt Satz 5 mit der Maßgabe, dass das Deckblatt und die Lieferscheine dem Betreiber der Kritischen Infrastruktur zu übergeben sind.</w:t>
      </w:r>
    </w:p>
    <w:p>
      <w:r>
        <w:t xml:space="preserve">(4) Der Betreiber der Aufbereitungsanlage oder derjenige, der nicht aufbereitetes Bodenmaterial oder nicht aufbereitetes Baggergut in Verkehr bringt, hat den Lieferschein als Durchschrift oder Kopie ab dem Zeitpunkt der Ausstellung fünf Jahre lang aufzubewahren. Der Grundstückseigentümer hat das Deckblatt und die Lieferscheine ab Erhalt so lange aufzubewahren, wie der jeweilige Ersatzbaustoff eingebaut ist. Absatz 3 Satz 6 gilt entsprechend. Diese Unterlagen sind der zuständigen Behörde auf deren Verlangen vorzulegen.</w:t>
      </w:r>
    </w:p>
    <w:p>
      <w:r>
        <w:rPr>
          <w:color w:val="555555"/>
          <w:sz w:val="17"/>
        </w:rPr>
        <w:t xml:space="preserve">Zitiervorschlag: § 25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ErsatzbaustoffV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