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ErsatzbaustoffV — Zusätzliche Einbaubeschränkungen bei bestimmten Schlacken und Aschen</w:t>
      </w:r>
    </w:p>
    <w:p>
      <w:r>
        <w:rPr>
          <w:color w:val="555555"/>
          <w:sz w:val="18"/>
        </w:rPr>
        <w:t xml:space="preserve">Ersatzbaustoffverordnung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nachstehend genannten mineralischen Ersatzbaustoffe dürfen in technischen Bauwerken nur in Mindesteinbaumengen verwendet werden. Einzuhalten ist eine Mindesteinbaumenge</w:t>
      </w:r>
    </w:p>
    <w:p>
      <w:pPr>
        <w:ind w:left="420"/>
      </w:pPr>
      <w:r>
        <w:t xml:space="preserve">1. von mindestens 250 Kubikmetern für</w:t>
      </w:r>
    </w:p>
    <w:p>
      <w:pPr>
        <w:ind w:left="780"/>
      </w:pPr>
      <w:r>
        <w:t xml:space="preserve">a) Hausmüllverbrennungsasche der Klasse 2 – HMVA-2,</w:t>
      </w:r>
    </w:p>
    <w:p>
      <w:pPr>
        <w:ind w:left="780"/>
      </w:pPr>
      <w:r>
        <w:t xml:space="preserve">b) Stahlwerksschlacke der Klasse 2 – SWS-2,</w:t>
      </w:r>
    </w:p>
    <w:p>
      <w:pPr>
        <w:ind w:left="780"/>
      </w:pPr>
      <w:r>
        <w:t xml:space="preserve">c) Kupferhüttenmaterial der Klasse 2 – CUM-2,</w:t>
      </w:r>
    </w:p>
    <w:p>
      <w:pPr>
        <w:ind w:left="420"/>
      </w:pPr>
      <w:r>
        <w:t xml:space="preserve">2. von mindestens 50 Kubikmetern für</w:t>
      </w:r>
    </w:p>
    <w:p>
      <w:pPr>
        <w:ind w:left="780"/>
      </w:pPr>
      <w:r>
        <w:t xml:space="preserve">a) Braunkohlenflugasche – BFA,</w:t>
      </w:r>
    </w:p>
    <w:p>
      <w:pPr>
        <w:ind w:left="780"/>
      </w:pPr>
      <w:r>
        <w:t xml:space="preserve">b) Steinkohlenkesselasche – SKA,</w:t>
      </w:r>
    </w:p>
    <w:p>
      <w:pPr>
        <w:ind w:left="780"/>
      </w:pPr>
      <w:r>
        <w:t xml:space="preserve">c) Steinkohlenflugasche – SFA,</w:t>
      </w:r>
    </w:p>
    <w:p>
      <w:pPr>
        <w:ind w:left="780"/>
      </w:pPr>
      <w:r>
        <w:t xml:space="preserve">d) Hausmüllverbrennungsasche der Klasse 1 – HMVA-1,</w:t>
      </w:r>
    </w:p>
    <w:p>
      <w:pPr>
        <w:ind w:left="780"/>
      </w:pPr>
      <w:r>
        <w:t xml:space="preserve">e) Stahlwerksschlacke der Klasse 1 – SWS-1,</w:t>
      </w:r>
    </w:p>
    <w:p>
      <w:pPr>
        <w:ind w:left="780"/>
      </w:pPr>
      <w:r>
        <w:t xml:space="preserve">f) Hochofenstückschlacke der Klasse 2 – HOS-2,</w:t>
      </w:r>
    </w:p>
    <w:p>
      <w:pPr>
        <w:ind w:left="780"/>
      </w:pPr>
      <w:r>
        <w:t xml:space="preserve">g) Kupferhüttenmaterial der Klasse 1 – CUM-1,</w:t>
      </w:r>
    </w:p>
    <w:p>
      <w:pPr>
        <w:ind w:left="780"/>
      </w:pPr>
      <w:r>
        <w:t xml:space="preserve">h) Gießereirestsand – GRS sowie</w:t>
      </w:r>
    </w:p>
    <w:p>
      <w:pPr>
        <w:ind w:left="780"/>
      </w:pPr>
      <w:r>
        <w:t xml:space="preserve">i) Gießerei-Kupolofenschlacke – GKOS.</w:t>
      </w:r>
    </w:p>
    <w:p>
      <w:r>
        <w:t xml:space="preserve">Sind diese mineralischen Ersatzbaustoffe Teil eines Gemisches, ist für jeden mineralischen Ersatzbaustoff die jeweilige Mindesteinbaumenge einzuhalten.</w:t>
      </w:r>
    </w:p>
    <w:p>
      <w:r>
        <w:t xml:space="preserve">(2) Die in Absatz 1 festgelegten Mindesteinbaumengen gelten nicht für Instandsetzungs- oder Ergänzungsmaßnahmen an technischen Bauwerken, wenn der jeweilige mineralische Ersatzbaustoff am Einbauort bereits verwendet wurde.</w:t>
      </w:r>
    </w:p>
    <w:p>
      <w:r>
        <w:rPr>
          <w:color w:val="555555"/>
          <w:sz w:val="17"/>
        </w:rPr>
        <w:t xml:space="preserve">Zitiervorschlag: § 20 ErsatzbaustoffV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https://recht.nulegal.eu/gesetze/ErsatzbaustoffV/20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