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ErsatzbaustoffV — Zwischenlager</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Wenn nicht aufbereitetes Bodenmaterial oder nicht aufbereitetes Baggergut in ein Zwischenlager befördert wird, entfallen die Pflichten des Erzeugers und Besitzers nach den §§ 14 bis 17.</w:t>
      </w:r>
    </w:p>
    <w:p>
      <w:r>
        <w:t xml:space="preserve">(2) Der Betreiber eines Zwischenlagers ist verpflichtet, eine Annahmekontrolle entsprechend § 3 durchzuführen, mit der Maßgabe, dass die Eluat- und Feststoffwerte für Bodenmaterial anzuwenden sind.</w:t>
      </w:r>
    </w:p>
    <w:p>
      <w:r>
        <w:t xml:space="preserve">(3) Der Betreiber eines Zwischenlagers hat Bodenmaterial oder Baggergut, das in Verkehr gebracht werden soll, von einer Untersuchungsstelle untersuchen zu lassen. Hierbei gelten für die Pflichten und Anforderungen an die Probenahme und Untersuchung § 8 Absatz 1 Satz 1 bis 6 und Satz 8 und 9, § 8 Absatz 4 und § 9 Absatz 1 und 3 bis 5, an die Bewertung der Untersuchungsergebnisse, an die Klassifizierung sowie an die Dokumentation § 14 Absatz 1, §§ 15, 16 Absatz 1 und § 17 entsprechend. Die Menge des jeweils auf Grundlage einer Untersuchung in Verkehr gebrachten Bodenmaterials oder Baggerguts darf 3 000 Kubikmeter nicht überschreiten.</w:t>
      </w:r>
    </w:p>
    <w:p>
      <w:r>
        <w:rPr>
          <w:color w:val="555555"/>
          <w:sz w:val="17"/>
        </w:rPr>
        <w:t xml:space="preserve">Zitiervorschlag: § 18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ErsatzbaustoffV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