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ErsatzbaustoffV — Klassifizierung von Bodenmaterial und Baggergut</w:t>
      </w:r>
    </w:p>
    <w:p>
      <w:r>
        <w:rPr>
          <w:color w:val="555555"/>
          <w:sz w:val="18"/>
        </w:rPr>
        <w:t xml:space="preserve">Ersatzbaustoffverordnung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Erzeuger oder Besitzer haben nicht aufbereitetes Bodenmaterial und nicht aufbereitetes Baggergut in eine der in Anlage 1 Tabelle 3 bezeichneten Materialklassen einzuteilen. Die Einteilung hat unverzüglich nach der Bewertung der Untersuchungsergebnisse der Untersuchung nach § 14 Absatz 1 Satz 1 zu erfolgen. Wurde die Untersuchung nach § 14 Absatz 1 Satz 4 auf nicht in Anlage 1 Tabelle 4 genannte Parameter ausgedehnt, legt ein Sachverständiger im Sinne des § 18 des Bundes-Bodenschutzgesetzes oder eine Person mit vergleichbarer Sachkunde, mit Zustimmung der zuständigen Behörde, die jeweilige Materialklasse auf Grund der Untersuchungsergebnisse fest.</w:t>
      </w:r>
    </w:p>
    <w:p>
      <w:r>
        <w:t xml:space="preserve">(2) In den Fällen des § 6 Absatz 6 Nummern 1 und 2 der Bundes-Bodenschutz- und Altlastenverordnung ist das Bodenmaterial als BM-0 und das Baggergut als BG-0 zu klassifizieren.</w:t>
      </w:r>
    </w:p>
    <w:p>
      <w:r>
        <w:rPr>
          <w:color w:val="555555"/>
          <w:sz w:val="17"/>
        </w:rPr>
        <w:t xml:space="preserve">Zitiervorschlag: § 16 ErsatzbaustoffV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https://recht.nulegal.eu/gesetze/ErsatzbaustoffV/16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