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ErsatzbaustoffV — Bewertung der Untersuchungsergebnisse</w:t>
      </w:r>
    </w:p>
    <w:p>
      <w:r>
        <w:rPr>
          <w:color w:val="555555"/>
          <w:sz w:val="18"/>
        </w:rPr>
        <w:t xml:space="preserve">Ersatzbaustoffverordnung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Die Materialwerte nach Anlage 1 Tabelle 3 und 4 mit Ausnahme der Materialwerte „pH-Wert“ und „elektrische Leitfähigkeit“ gelten als eingehalten, wenn die im Rahmen der Untersuchung gemessene Konzentration oder der Stoffgehalt eines Parameters gleich oder geringer ist als der entsprechende Materialwert. § 10 Absätze 4 und 5 sind entsprechend anzuwenden.</w:t>
      </w:r>
    </w:p>
    <w:p>
      <w:r>
        <w:rPr>
          <w:color w:val="555555"/>
          <w:sz w:val="17"/>
        </w:rPr>
        <w:t xml:space="preserve">Zitiervorschlag: § 15 ErsatzbaustoffV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https://recht.nulegal.eu/gesetze/ErsatzbaustoffV/15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