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ErsatzbaustoffV — Untersuchungspflicht</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Erzeuger und Besitzer haben nicht aufbereitetes Bodenmaterial und nicht aufbereitetes Baggergut, das in ein technisches Bauwerk eingebaut werden soll, unverzüglich nach dem Aushub oder dem Abschieben auf die zur Bestimmung einer Materialklasse erforderlichen Parameter der Anlage 1 Tabelle 3 untersuchen zu lassen. Die Untersuchung ist von einer Untersuchungsstelle nach Maßgabe des § 8 Absatz 1 Satz 1 bis 6 und Satz 8 und 9, § 8 Absatz 4 und § 9 Absatz 1 und Absatz 3 bis 5 durchführen zu lassen. Ergebnisse aus einer in situ-Untersuchung können verwendet werden, sofern sich die Beschaffenheit des Bodens zum Zeitpunkt des Aushubs oder des Abschiebens, insbesondere aufgrund der zwischenzeitlichen Nutzung, nicht verändert hat. Ergeben sich auf Grund von Herkunft oder bisheriger Nutzung im Rahmen der Vorerkundung Hinweise auf Belastungen mit in Anlage 1 Tabelle 4 genannten Schadstoffen, haben der Erzeuger oder Besitzer die Untersuchung zusätzlich auf diese Schadstoffe auszudehnen. Für in Anlage 1 Tabelle 4 nicht genannte Schadstoffe gilt Satz 3 in Verbindung mit § 16 Absatz 1 Satz 2 entsprechend.</w:t>
      </w:r>
    </w:p>
    <w:p>
      <w:r>
        <w:t xml:space="preserve">(2) Für die Vorerkundung von Böden in situ, die Vorerkundung von Haufwerken am Anfallort sowie die Probenahme von Böden in situ gilt Abschnitt 4 der Bundes-Bodenschutz- und Altlastenverordnung. Für die Probenahme von Böden in-situ nach Abschnitt 4 der Bundesbodenschutz- und Altlastenverordnung kann insbesondere die DIN 19698 „Untersuchung von Feststoffen – Probenahme von festen und stichfesten Materialien“ Teil 6 (2019-01) herangezogen werden.</w:t>
      </w:r>
    </w:p>
    <w:p>
      <w:r>
        <w:t xml:space="preserve">(3) In den Fällen des § 6 Absatz 6 Nummer 1 und 2 der Bundes-Bodenschutz- und Altlastenverordnung kann von einer Untersuchung abgesehen werden.</w:t>
      </w:r>
    </w:p>
    <w:p>
      <w:r>
        <w:rPr>
          <w:color w:val="555555"/>
          <w:sz w:val="17"/>
        </w:rPr>
        <w:t xml:space="preserve">Zitiervorschlag: § 14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