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 ErsatzbaustoffV — Dokumentation der Güteüberwachung</w:t>
      </w:r>
    </w:p>
    <w:p>
      <w:r>
        <w:rPr>
          <w:color w:val="555555"/>
          <w:sz w:val="18"/>
        </w:rPr>
        <w:t xml:space="preserve">Ersatzbaustoffverordnung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(1) Der Betreiber der Aufbereitungsanlage hat die Prüfzeugnisse aus der Güteüberwachung nach § 4 Absatz 1 Satz 1, die Probenahmeprotokolle nach § 8 Absatz 1 Satz 2 und die Bewertung der Untersuchungsergebnisse nach § 10 Absatz 1 Satz 1 sowie die Klassifizierung nach § 11 Satz 1 unverzüglich nach Erhalt und fortlaufend zu dokumentieren und ab dem Tag ihrer Ausstellung fünf Jahre aufzubewahren. Das Prüfzeugnis über den Eignungsnachweis nach § 5 Absatz 4 ist abweichend von Satz 1 für die Dauer des Anlagenbetriebs aufzubewahren.</w:t>
      </w:r>
    </w:p>
    <w:p>
      <w:r>
        <w:t xml:space="preserve">(2) Der Betreiber einer Aufbereitungsanlage hat eine Ausfertigung des Prüfzeugnisses über den Eignungsnachweis gemäß § 5 Absatz 4 der zuständigen Behörde unverzüglich nach Erhalt schriftlich oder elektronisch vorzulegen. Die zuständige Behörde kann die Aufbereitungsanlagen, die über das Prüfzeugnis nach Satz 1 verfügen, auf ihrer Internetseite bekannt geben. Die übrigen Dokumente nach Absatz 1 sind auf Verlangen der zuständigen Behörde vorzulegen.</w:t>
      </w:r>
    </w:p>
    <w:p>
      <w:r>
        <w:rPr>
          <w:color w:val="555555"/>
          <w:sz w:val="17"/>
        </w:rPr>
        <w:t xml:space="preserve">Zitiervorschlag: § 12 ErsatzbaustoffV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https://recht.nulegal.eu/gesetze/ErsatzbaustoffV/12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 ErsatzbaustoffV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