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ErsatzbaustoffV — Klassifizierung mineralischer Ersatzbaustoffe</w:t>
      </w:r>
    </w:p>
    <w:p>
      <w:r>
        <w:rPr>
          <w:color w:val="555555"/>
          <w:sz w:val="18"/>
        </w:rPr>
        <w:t xml:space="preserve">Ersatzbaustoffverordnung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Der Betreiber der Aufbereitungsanlage hat den mineralischen Ersatzbaustoff in eine Materialklasse einzuteilen, sofern in Anlage 1 für einen mineralischen Ersatzbaustoff mehrere Materialklassen definiert sind. Die Einteilung hat unverzüglich nach der Bewertung der Untersuchungsergebnisse nach § 10 Absatz 1 zu erfolgen.</w:t>
      </w:r>
    </w:p>
    <w:p>
      <w:r>
        <w:rPr>
          <w:color w:val="555555"/>
          <w:sz w:val="17"/>
        </w:rPr>
        <w:t xml:space="preserve">Zitiervorschlag: § 11 ErsatzbaustoffV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https://recht.nulegal.eu/gesetze/ErsatzbaustoffV/11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