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ErsatzbaustoffV — Anwendungsbereich</w:t>
      </w:r>
    </w:p>
    <w:p>
      <w:r>
        <w:rPr>
          <w:color w:val="555555"/>
          <w:sz w:val="18"/>
        </w:rPr>
        <w:t xml:space="preserve">Ersatzbaustoffverordnung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Die Vorschriften dieser Verordnung regeln im Hinblick auf mineralische Ersatzbaustoffe im Sinne des § 2 Nummer 1 die</w:t>
      </w:r>
    </w:p>
    <w:p>
      <w:pPr>
        <w:ind w:left="420"/>
      </w:pPr>
      <w:r>
        <w:t xml:space="preserve">1. Anforderungen an die Herstellung dieser mineralischen Ersatzbaustoffe in mobilen und stationären Anlagen und an das Inverkehrbringen von mineralischen Ersatzbaustoffen,</w:t>
      </w:r>
    </w:p>
    <w:p>
      <w:pPr>
        <w:ind w:left="420"/>
      </w:pPr>
      <w:r>
        <w:t xml:space="preserve">2. Anforderungen an die Probenahme und Untersuchung von nicht aufbereitetem Bodenmaterial und nicht aufbereitetem Baggergut, das ausgehoben oder abgeschoben werden soll,</w:t>
      </w:r>
    </w:p>
    <w:p>
      <w:pPr>
        <w:ind w:left="420"/>
      </w:pPr>
      <w:r>
        <w:t xml:space="preserve">3. Anforderungen an den Einbau dieser mineralischen Ersatzbaustoffe in technische Bauwerke sowie</w:t>
      </w:r>
    </w:p>
    <w:p>
      <w:pPr>
        <w:ind w:left="420"/>
      </w:pPr>
      <w:r>
        <w:t xml:space="preserve">4. Anforderungen an die getrennte Sammlung von mineralischen Abfällen aus technischen Bauwerken.</w:t>
      </w:r>
    </w:p>
    <w:p>
      <w:r>
        <w:t xml:space="preserve">(2) Die Vorschriften dieser Verordnung gelten nicht für</w:t>
      </w:r>
    </w:p>
    <w:p>
      <w:pPr>
        <w:ind w:left="420"/>
      </w:pPr>
      <w:r>
        <w:t xml:space="preserve">1. Bodenschätze, wie Minerale, Steine, Kiese, Sande und Tone, die in Trocken- oder Nassabgrabungen, Tagebauen oder Brüchen gewonnen werden,</w:t>
      </w:r>
    </w:p>
    <w:p>
      <w:pPr>
        <w:ind w:left="420"/>
      </w:pPr>
      <w:r>
        <w:t xml:space="preserve">2. die Verwendung mineralischer Ersatzbaustoffe im Sinne des § 2 Nummer 1</w:t>
      </w:r>
    </w:p>
    <w:p>
      <w:pPr>
        <w:ind w:left="780"/>
      </w:pPr>
      <w:r>
        <w:t xml:space="preserve">a) auf oder in einer durchwurzelbaren Bodenschicht, auch dann nicht, wenn die durchwurzelbare Bodenschicht im Zusammenhang mit der Errichtung eines technischen Bauwerkes auf- oder eingebracht oder hergestellt wird,</w:t>
      </w:r>
    </w:p>
    <w:p>
      <w:pPr>
        <w:ind w:left="780"/>
      </w:pPr>
      <w:r>
        <w:t xml:space="preserve">b) unterhalb oder außerhalb einer durchwurzelbaren Bodenschicht, ausgenommen in technischen Bauwerken,</w:t>
      </w:r>
    </w:p>
    <w:p>
      <w:pPr>
        <w:ind w:left="780"/>
      </w:pPr>
      <w:r>
        <w:t xml:space="preserve">c) als Deponieersatzbaustoffe nach Teil 3 der Deponieverordnung,</w:t>
      </w:r>
    </w:p>
    <w:p>
      <w:pPr>
        <w:ind w:left="780"/>
      </w:pPr>
      <w:r>
        <w:t xml:space="preserve">d) auf Halden oder in Absetzteichen des Bergbaus,</w:t>
      </w:r>
    </w:p>
    <w:p>
      <w:pPr>
        <w:ind w:left="780"/>
      </w:pPr>
      <w:r>
        <w:t xml:space="preserve">e) in bergbaulichen Hohlräumen gemäß der Versatzverordnung,</w:t>
      </w:r>
    </w:p>
    <w:p>
      <w:pPr>
        <w:ind w:left="780"/>
      </w:pPr>
      <w:r>
        <w:t xml:space="preserve">f) im Deichbau,</w:t>
      </w:r>
    </w:p>
    <w:p>
      <w:pPr>
        <w:ind w:left="780"/>
      </w:pPr>
      <w:r>
        <w:t xml:space="preserve">g) in Gewässern,</w:t>
      </w:r>
    </w:p>
    <w:p>
      <w:pPr>
        <w:ind w:left="780"/>
      </w:pPr>
      <w:r>
        <w:t xml:space="preserve">h) als Ausbauasphalt der Verwertungsklasse A im Straßenbau, sofern die „Richtlinien für die umweltverträgliche Verwertung von Ausbaustoffen mit teer-/pechtypischen Bestandteilen sowie für die Verwertung von Ausbauasphalt im Straßenbau – RuVA-StB 01, Ausgabe 2001, Fassung 2005“ der Forschungsgesellschaft für Straßen- und Verkehrswesen (FGSV) und die „Technischen Lieferbedingungen für Asphaltgranulat – TL AG-StB, Ausgabe 2009“ der Forschungsgesellschaft für Straßen- und Verkehrswesen (FGSV)[2] angewendet werden,</w:t>
      </w:r>
    </w:p>
    <w:p>
      <w:pPr>
        <w:ind w:left="780"/>
      </w:pPr>
      <w:r>
        <w:t xml:space="preserve">i) in Anlagen des Bundes gemäß § 9a Absatz 3 des Atomgesetzes in der Fassung der Bekanntmachung vom 15. Juli 1985 (BGBl. I S. 1565), das zuletzt durch Artikel 1 des Gesetzes vom 4. Dezember 2022 (BGBl. I S. 2153) geändert worden ist,</w:t>
      </w:r>
    </w:p>
    <w:p>
      <w:pPr>
        <w:ind w:left="420"/>
      </w:pPr>
      <w:r>
        <w:t xml:space="preserve">3. die Zwischen- oder Umlagerung mineralischer Ersatzbaustoffe im Sinne des § 2 Nummer 1</w:t>
      </w:r>
    </w:p>
    <w:p>
      <w:pPr>
        <w:ind w:left="780"/>
      </w:pPr>
      <w:r>
        <w:t xml:space="preserve">a) im Rahmen der Errichtung, der Änderung oder der Unterhaltung von baulichen und betrieblichen Anlagen, einschließlich der Seitenentnahme von Bodenmaterial und Baggergut,</w:t>
      </w:r>
    </w:p>
    <w:p>
      <w:pPr>
        <w:ind w:left="780"/>
      </w:pPr>
      <w:r>
        <w:t xml:space="preserve">b) im Tagebau unter vergleichbaren Bodenverhältnissen und geologischen und hydrogeologischen Bedingungen,</w:t>
      </w:r>
    </w:p>
    <w:p>
      <w:pPr>
        <w:ind w:left="780"/>
      </w:pPr>
      <w:r>
        <w:t xml:space="preserve">c) im Rahmen der Sanierung einer schädlichen Bodenveränderung oder Altlast oder innerhalb des Gebietes eines für verbindlich erklärten Sanierungsplans, und</w:t>
      </w:r>
    </w:p>
    <w:p>
      <w:pPr>
        <w:ind w:left="420"/>
      </w:pPr>
      <w:r>
        <w:t xml:space="preserve">4. hydraulisch gebundene Gemische einschließlich ihrer Ausgangs-, Zuschlags- und Zusatzstoffe im Geltungsbereich der Landesbauordnungen sowie im Bereich der Bundesverkehrswege, der Verkehrswege der Länder, Kreise und Kommunen sowie der jeweiligen Nebenanlagen, soweit diese Gemische nicht von den Einbauweisen 1, 3 und 5 der Anlage 2 erfasst sind.</w:t>
      </w:r>
    </w:p>
    <w:p>
      <w:r>
        <w:t xml:space="preserve">2 Richtlinien, Technische Lieferbedingungen, Technische Vertragsbedingungen und Merkblätter der Forschungsgesellschaft für Straßen- und Verkehrswesen sind im FGSV-Verlag GmbH, Köln, erschienen und beim Deutschen Marken- und Patentamt in München archiviert und einsehbar.</w:t>
      </w:r>
    </w:p>
    <w:p>
      <w:r>
        <w:rPr>
          <w:color w:val="555555"/>
          <w:sz w:val="17"/>
        </w:rPr>
        <w:t xml:space="preserve">Zitiervorschlag: § 1 ErsatzbaustoffV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https://recht.nulegal.eu/gesetze/ErsatzbaustoffV/1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