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 ErsDiG — Entsprechende Anwendung weiterer Rechtsvorschriften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Für anerkannte Kriegsdienstverweigerer gelten entsprechend</w:t>
      </w:r>
    </w:p>
    <w:p>
      <w:pPr>
        <w:ind w:left="420"/>
      </w:pPr>
      <w:r>
        <w:t xml:space="preserve">1. das Arbeitsplatzschutzgesetz mit der Maßgabe, dass</w:t>
      </w:r>
    </w:p>
    <w:p>
      <w:pPr>
        <w:ind w:left="780"/>
      </w:pPr>
      <w:r>
        <w:t xml:space="preserve">a) in § 14a Absatz 2 an die Stelle des Bundesministeriums der Verteidigung und der von diesem bestimmten Stelle sowie in § 14c Absatz 1 an die Stelle des Bundesamtes für das Personalmanagement der Bundeswehr das Bundesministerium für Bildung, Familie, Senioren, Frauen und Jugend und die von diesem bestimmte Stelle treten und</w:t>
      </w:r>
    </w:p>
    <w:p>
      <w:pPr>
        <w:ind w:left="780"/>
      </w:pPr>
      <w:r>
        <w:t xml:space="preserve">b) an die Stelle des Grundwehrdienstes der Zivildienst tritt;</w:t>
      </w:r>
    </w:p>
    <w:p>
      <w:pPr>
        <w:ind w:left="420"/>
      </w:pPr>
      <w:r>
        <w:t xml:space="preserve">2. das Unterhaltssicherungsgesetz mit der Maßgabe, dass in § 24 an die Stelle des Bundesamtes für das Personalmanagement der Bundeswehr die vom Bundesministerium für Bildung, Familie, Senioren, Frauen und Jugend bestimmte Stelle tritt.</w:t>
      </w:r>
    </w:p>
    <w:p>
      <w:r>
        <w:t xml:space="preserve">(2) Soweit in diesem Gesetz nichts anderes bestimmt ist, stehen der Zivildienst und der freiwillige zusätzliche Zivildienst bei Anwendung der Vorschriften des öffentlichen Dienstrechts dem Grundwehrdienst nach Maßgabe des Wehrpflichtgesetzes gleich.</w:t>
      </w:r>
    </w:p>
    <w:p>
      <w:r>
        <w:rPr>
          <w:color w:val="555555"/>
          <w:sz w:val="17"/>
        </w:rPr>
        <w:t xml:space="preserve">Zitiervorschlag: § 78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