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ErsDiG — Rechte des gesetzlichen Vertreters</w:t>
      </w:r>
    </w:p>
    <w:p>
      <w:r>
        <w:rPr>
          <w:color w:val="555555"/>
          <w:sz w:val="18"/>
        </w:rPr>
        <w:t xml:space="preserve">Zivildienstgesetz</w:t>
      </w:r>
    </w:p>
    <w:p>
      <w:r>
        <w:rPr>
          <w:color w:val="555555"/>
          <w:sz w:val="18"/>
        </w:rPr>
        <w:t xml:space="preserve">Stand: 02.12.2019 (konsolidierte Textfassung, kein amtliches Inkrafttretensdatum)</w:t>
      </w:r>
    </w:p>
    <w:p>
      <w:r>
        <w:t xml:space="preserve">Der gesetzliche Vertreter des anerkannten Kriegsdienstverweigerers kann innerhalb der für diesen laufenden Fristen selbständig Anträge stellen, Klagen erheben und von Rechtsbehelfen Gebrauch machen, soweit es sich um die Verfügbarkeit für den Zivildienst handelt.</w:t>
      </w:r>
    </w:p>
    <w:p>
      <w:r>
        <w:rPr>
          <w:color w:val="555555"/>
          <w:sz w:val="17"/>
        </w:rPr>
        <w:t xml:space="preserve">Zitiervorschlag: § 76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