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ErsDiG — Ausschluss der aufschiebenden Wirkung des Widerspruchs und der Klage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Der Widerspruch gegen den Einberufungsbescheid, der Widerspruch gegen die Aufhebung eines Einberufungsbescheides, der Widerspruch gegen den Tauglichkeitsüberprüfungsbescheid und der Widerspruch gegen den Umwandlungsbescheid nach § 19 Abs. 2 haben keine aufschiebende Wirkung.</w:t>
      </w:r>
    </w:p>
    <w:p>
      <w:r>
        <w:t xml:space="preserve">(2) Die Anfechtungsklage gegen den Tauglichkeitsüberprüfungsbescheid, die Anfechtungsklage gegen den Einberufungsbescheid, die Anfechtungsklage gegen die Aufhebung des Einberufungsbescheides, die Anfechtungsklage gegen einen Umwandlungsbescheid nach § 19 Abs. 2 sowie die Anfechtungsklage gegen einen die Verfügbarkeit feststellenden Bescheid haben keine aufschiebende Wirkung. Vor Anordnung der aufschiebenden Wirkung oder Aufhebung der Vollziehung hat das Gericht das Bundesamt zu hören.</w:t>
      </w:r>
    </w:p>
    <w:p>
      <w:r>
        <w:rPr>
          <w:color w:val="555555"/>
          <w:sz w:val="17"/>
        </w:rPr>
        <w:t xml:space="preserve">Zitiervorschlag: § 74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