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ErsDiG — Form und Bekanntgabe von Verwaltungsakten; Zustellungen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Nicht begünstigende Verwaltungsakte auf Grund dieses Gesetzes sind schriftlich zu erlassen.</w:t>
      </w:r>
    </w:p>
    <w:p>
      <w:r>
        <w:t xml:space="preserve">(2) Verwaltungsakte nach Absatz 1 sind zuzustellen. Im Übrigen wird zugestellt, soweit das durch dieses Gesetz oder durch Anordnung einer für den Zivildienst zuständigen Stelle bestimmt wird.</w:t>
      </w:r>
    </w:p>
    <w:p>
      <w:r>
        <w:t xml:space="preserve">(3) Für die Zustellung gelten die §§ 2 bis 15 des Verwaltungszustellungsgesetzes, § 7 Abs. 1 jedoch mit der Maßgabe, dass an Minderjährige selbst zuzustellen ist. Das Bundesamt veranlasst die Zustellung im Ausland; es bewirkt die öffentliche Zustellung.</w:t>
      </w:r>
    </w:p>
    <w:p>
      <w:r>
        <w:rPr>
          <w:color w:val="555555"/>
          <w:sz w:val="17"/>
        </w:rPr>
        <w:t xml:space="preserve">Zitiervorschlag: § 71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