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ErsDiG — Verhängung der Disziplinarmaßnahme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Wird das Verfahren nicht eingestellt, verhängt die oder der Disziplinarvorgesetzte die Disziplinarmaßnahme.</w:t>
      </w:r>
    </w:p>
    <w:p>
      <w:r>
        <w:t xml:space="preserve">(2) Halten die nach § 61 Abs. 2 Satz 1 zuständigen Disziplinarvorgesetzten ihre Disziplinarbefugnis nicht für ausreichend, führen sie die Entscheidung der oder des in § 61 Abs. 1 bezeichneten Disziplinarvorgesetzten herbei.</w:t>
      </w:r>
    </w:p>
    <w:p>
      <w:r>
        <w:t xml:space="preserve">(3) Ungeachtet der Einstellung durch eine andere Disziplinarvorgesetzte oder einen anderen Disziplinarvorgesetzten kann die Präsidentin oder der Präsident des Bundesamtes wegen desselben Sachverhalts eine Disziplinarmaßnahme verhängen.</w:t>
      </w:r>
    </w:p>
    <w:p>
      <w:r>
        <w:rPr>
          <w:color w:val="555555"/>
          <w:sz w:val="17"/>
        </w:rPr>
        <w:t xml:space="preserve">Zitiervorschlag: § 64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