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62b ErsDiG — Anhörung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Dem Dienstleistenden ist vor der Entscheidung Gelegenheit zu geben, sich zu äußern. Hierüber ist eine Vernehmungsniederschrift aufzunehmen, die von dem Dienstleistenden unterschrieben sein soll.</w:t>
      </w:r>
    </w:p>
    <w:p>
      <w:r>
        <w:t xml:space="preserve">(2) Die Beteiligung des Vertrauensmannes bei der Ahndung von Dienstvergehen richtet sich nach § 22 des Gesetzes über den Vertrauensmann der Zivildienstleistenden vom 16. Januar 1991 (BGBl. I S. 47, 53). Fehlt ein Vertrauensmann, so ist der Betriebs- oder Personalrat zur Person des Dienstleistenden und zum Sachverhalt anzuhören; der Sachverhalt ist ihm vorher bekannt zu geben.</w:t>
      </w:r>
    </w:p>
    <w:p>
      <w:r>
        <w:rPr>
          <w:color w:val="555555"/>
          <w:sz w:val="17"/>
        </w:rPr>
        <w:t xml:space="preserve">Zitiervorschlag: § 62b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https://recht.nulegal.eu/gesetze/ErsDiG/62b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