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58c ErsDiG — Förmliche Anerkennungen</w:t>
      </w:r>
    </w:p>
    <w:p>
      <w:r>
        <w:rPr>
          <w:color w:val="555555"/>
          <w:sz w:val="18"/>
        </w:rPr>
        <w:t xml:space="preserve">Zivildienstgesetz</w:t>
      </w:r>
    </w:p>
    <w:p>
      <w:r>
        <w:rPr>
          <w:color w:val="555555"/>
          <w:sz w:val="18"/>
        </w:rPr>
        <w:t xml:space="preserve">Stand: 02.12.2019 (konsolidierte Textfassung, kein amtliches Inkrafttretensdatum)</w:t>
      </w:r>
    </w:p>
    <w:p>
      <w:r>
        <w:t xml:space="preserve">(1) Vorbildliche Pflichterfüllung und hervorragende Einzeltaten können durch förmliche Anerkennungen gewürdigt werden.</w:t>
      </w:r>
    </w:p>
    <w:p>
      <w:r>
        <w:t xml:space="preserve">(2) Eine förmliche Anerkennung ist zurückzunehmen, wenn sich nachträglich herausstellt, dass die Voraussetzungen, unter denen sie erteilt wurde, nicht vorlagen. Die Rücknahme ist zu begründen. Vor der Entscheidung ist der Dienstleistende zu hören.</w:t>
      </w:r>
    </w:p>
    <w:p>
      <w:r>
        <w:t xml:space="preserve">(3) Wird die förmliche Anerkennung zurückgenommen, ist zugleich darüber zu entscheiden, ob ein in Anspruch genommener Sonderurlaub ganz oder teilweise auf den Erholungsurlaub anzurechnen ist. Eine Anrechnung des in Anspruch genommenen Sonderurlaubs auf den Erholungsurlaub unterbleibt, soweit dies eine besondere Härte bedeuten würde.</w:t>
      </w:r>
    </w:p>
    <w:p>
      <w:r>
        <w:t xml:space="preserve">(4) Absätze 1 bis 3 gelten auch für frühere Dienstleistende.</w:t>
      </w:r>
    </w:p>
    <w:p>
      <w:r>
        <w:rPr>
          <w:color w:val="555555"/>
          <w:sz w:val="17"/>
        </w:rPr>
        <w:t xml:space="preserve">Zitiervorschlag: § 58c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https://recht.nulegal.eu/gesetze/ErsDiG/58c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